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CFF" w:rsidRPr="00786ABB" w:rsidRDefault="00E92988" w:rsidP="00BD3FCE">
      <w:pPr>
        <w:jc w:val="center"/>
        <w:rPr>
          <w:b/>
          <w:sz w:val="28"/>
          <w:szCs w:val="28"/>
        </w:rPr>
      </w:pPr>
      <w:r w:rsidRPr="00786ABB">
        <w:rPr>
          <w:b/>
          <w:sz w:val="28"/>
          <w:szCs w:val="28"/>
        </w:rPr>
        <w:t xml:space="preserve">KEJADIAN HIPERBILIRUBINEMIA DITINJAU DARI BERAT </w:t>
      </w:r>
      <w:r w:rsidR="00784CFF" w:rsidRPr="00786ABB">
        <w:rPr>
          <w:b/>
          <w:sz w:val="28"/>
          <w:szCs w:val="28"/>
        </w:rPr>
        <w:t>BADAN LAHIR</w:t>
      </w:r>
    </w:p>
    <w:p w:rsidR="00E92988" w:rsidRDefault="00E92988" w:rsidP="00BD3FCE">
      <w:pPr>
        <w:jc w:val="center"/>
        <w:rPr>
          <w:b/>
          <w:sz w:val="28"/>
          <w:szCs w:val="28"/>
          <w:lang w:val="id-ID"/>
        </w:rPr>
      </w:pPr>
    </w:p>
    <w:p w:rsidR="00E81205" w:rsidRPr="00786ABB" w:rsidRDefault="00E81205" w:rsidP="00D33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i/>
          <w:sz w:val="20"/>
          <w:szCs w:val="20"/>
          <w:lang w:val="id-ID" w:eastAsia="id-ID"/>
        </w:rPr>
      </w:pPr>
      <w:r w:rsidRPr="00786ABB">
        <w:rPr>
          <w:i/>
          <w:lang w:eastAsia="id-ID"/>
        </w:rPr>
        <w:t>HIPERBILIRUBINEMIA EVENTS ARE REVIEWED FROM WEIGHT OF BORN BODY</w:t>
      </w:r>
      <w:r w:rsidRPr="00786ABB">
        <w:rPr>
          <w:i/>
          <w:lang w:val="id-ID" w:eastAsia="id-ID"/>
        </w:rPr>
        <w:t xml:space="preserve"> </w:t>
      </w:r>
    </w:p>
    <w:p w:rsidR="00E81205" w:rsidRDefault="00E81205" w:rsidP="00BD3FCE">
      <w:pPr>
        <w:jc w:val="center"/>
        <w:rPr>
          <w:b/>
          <w:sz w:val="28"/>
          <w:szCs w:val="28"/>
          <w:lang w:val="id-ID"/>
        </w:rPr>
      </w:pPr>
    </w:p>
    <w:p w:rsidR="00E92988" w:rsidRPr="00786ABB" w:rsidRDefault="00784CFF" w:rsidP="00BD3FCE">
      <w:pPr>
        <w:jc w:val="center"/>
        <w:rPr>
          <w:sz w:val="22"/>
          <w:lang w:val="sv-SE"/>
        </w:rPr>
      </w:pPr>
      <w:r w:rsidRPr="00786ABB">
        <w:rPr>
          <w:sz w:val="22"/>
          <w:lang w:val="sv-SE"/>
        </w:rPr>
        <w:t>Yeviza Puspitasari</w:t>
      </w:r>
    </w:p>
    <w:p w:rsidR="00786ABB" w:rsidRDefault="00786ABB" w:rsidP="00786ABB">
      <w:pPr>
        <w:jc w:val="center"/>
        <w:rPr>
          <w:i/>
          <w:sz w:val="20"/>
          <w:szCs w:val="20"/>
          <w:shd w:val="clear" w:color="auto" w:fill="FFFFFF"/>
        </w:rPr>
      </w:pPr>
      <w:r>
        <w:rPr>
          <w:i/>
          <w:sz w:val="20"/>
          <w:szCs w:val="20"/>
          <w:lang w:val="sv-SE"/>
        </w:rPr>
        <w:t xml:space="preserve">Program Studi Kebidanan, Sekolah Tinggi Ilmu Kesehatan </w:t>
      </w:r>
      <w:r w:rsidRPr="00325D17">
        <w:rPr>
          <w:i/>
          <w:sz w:val="20"/>
          <w:szCs w:val="20"/>
          <w:lang w:val="sv-SE"/>
        </w:rPr>
        <w:t xml:space="preserve">Al-Ma’arif Baturaja, </w:t>
      </w:r>
      <w:r w:rsidRPr="00325D17">
        <w:rPr>
          <w:i/>
          <w:sz w:val="20"/>
          <w:szCs w:val="20"/>
          <w:shd w:val="clear" w:color="auto" w:fill="FFFFFF"/>
        </w:rPr>
        <w:t>Jl Dr Mohammad Hatta No 687-B Sukaraya, Baturaja, Sumatera Selatan, Indonesia 32112, Kab. Ogan Komering Ulu, Sumatera Selatan, Indonesia</w:t>
      </w:r>
    </w:p>
    <w:p w:rsidR="00E92988" w:rsidRPr="00786ABB" w:rsidRDefault="00786ABB" w:rsidP="00BD3FCE">
      <w:pPr>
        <w:jc w:val="center"/>
        <w:rPr>
          <w:i/>
          <w:sz w:val="20"/>
          <w:szCs w:val="20"/>
          <w:shd w:val="clear" w:color="auto" w:fill="FFFFFF"/>
        </w:rPr>
      </w:pPr>
      <w:proofErr w:type="gramStart"/>
      <w:r>
        <w:rPr>
          <w:i/>
          <w:sz w:val="20"/>
          <w:szCs w:val="20"/>
          <w:shd w:val="clear" w:color="auto" w:fill="FFFFFF"/>
        </w:rPr>
        <w:t>e</w:t>
      </w:r>
      <w:r w:rsidR="00E92988" w:rsidRPr="00786ABB">
        <w:rPr>
          <w:i/>
          <w:sz w:val="20"/>
          <w:szCs w:val="20"/>
          <w:shd w:val="clear" w:color="auto" w:fill="FFFFFF"/>
        </w:rPr>
        <w:t>mail</w:t>
      </w:r>
      <w:proofErr w:type="gramEnd"/>
      <w:r w:rsidR="00E92988" w:rsidRPr="00786ABB">
        <w:rPr>
          <w:i/>
          <w:sz w:val="20"/>
          <w:szCs w:val="20"/>
          <w:shd w:val="clear" w:color="auto" w:fill="FFFFFF"/>
        </w:rPr>
        <w:t xml:space="preserve">: </w:t>
      </w:r>
      <w:r w:rsidR="00784CFF" w:rsidRPr="00786ABB">
        <w:rPr>
          <w:i/>
          <w:sz w:val="20"/>
          <w:szCs w:val="20"/>
          <w:shd w:val="clear" w:color="auto" w:fill="FFFFFF"/>
        </w:rPr>
        <w:t>yeviza.puspitasari1402@gmail.com</w:t>
      </w:r>
    </w:p>
    <w:p w:rsidR="00E92988" w:rsidRPr="00786ABB" w:rsidRDefault="00E92988" w:rsidP="00BD3FCE">
      <w:pPr>
        <w:jc w:val="center"/>
        <w:rPr>
          <w:lang w:val="sv-SE"/>
        </w:rPr>
      </w:pPr>
    </w:p>
    <w:p w:rsidR="00786ABB" w:rsidRPr="00786ABB" w:rsidRDefault="00786ABB" w:rsidP="00BD3FCE">
      <w:pPr>
        <w:jc w:val="center"/>
        <w:rPr>
          <w:b/>
          <w:lang w:val="sv-SE"/>
        </w:rPr>
      </w:pPr>
    </w:p>
    <w:p w:rsidR="00E92988" w:rsidRDefault="00E92988" w:rsidP="00BD3FCE">
      <w:pPr>
        <w:jc w:val="center"/>
        <w:rPr>
          <w:b/>
          <w:lang w:val="sv-SE"/>
        </w:rPr>
      </w:pPr>
      <w:r w:rsidRPr="00786ABB">
        <w:rPr>
          <w:b/>
          <w:lang w:val="sv-SE"/>
        </w:rPr>
        <w:t>ABSTRAK</w:t>
      </w:r>
    </w:p>
    <w:p w:rsidR="00786ABB" w:rsidRPr="00786ABB" w:rsidRDefault="00786ABB" w:rsidP="00BD3FCE">
      <w:pPr>
        <w:jc w:val="center"/>
        <w:rPr>
          <w:b/>
          <w:lang w:val="sv-SE"/>
        </w:rPr>
      </w:pPr>
    </w:p>
    <w:p w:rsidR="00E92988" w:rsidRPr="00786ABB" w:rsidRDefault="00784CFF" w:rsidP="00BD3FCE">
      <w:pPr>
        <w:jc w:val="both"/>
        <w:rPr>
          <w:i/>
          <w:sz w:val="20"/>
          <w:szCs w:val="20"/>
          <w:lang w:val="sv-SE"/>
        </w:rPr>
      </w:pPr>
      <w:proofErr w:type="gramStart"/>
      <w:r w:rsidRPr="00786ABB">
        <w:rPr>
          <w:i/>
          <w:sz w:val="20"/>
          <w:szCs w:val="20"/>
        </w:rPr>
        <w:t>Hiperbilirubinemia merupakan salah satu fenomena klinis yang paling sering ditemukan pada neonatus terjadi pada minggu pertama kehidupan</w:t>
      </w:r>
      <w:r w:rsidRPr="00786ABB">
        <w:rPr>
          <w:i/>
          <w:sz w:val="20"/>
          <w:szCs w:val="20"/>
          <w:lang w:val="es-ES"/>
        </w:rPr>
        <w:t>, yang juga</w:t>
      </w:r>
      <w:r w:rsidR="00E92988" w:rsidRPr="00786ABB">
        <w:rPr>
          <w:i/>
          <w:sz w:val="20"/>
          <w:szCs w:val="20"/>
          <w:lang w:val="en-GB"/>
        </w:rPr>
        <w:t xml:space="preserve"> merupakan salah satu fa</w:t>
      </w:r>
      <w:r w:rsidRPr="00786ABB">
        <w:rPr>
          <w:i/>
          <w:sz w:val="20"/>
          <w:szCs w:val="20"/>
          <w:lang w:val="en-GB"/>
        </w:rPr>
        <w:t>ktor penyebab kematian bayi</w:t>
      </w:r>
      <w:r w:rsidR="00E92988" w:rsidRPr="00786ABB">
        <w:rPr>
          <w:i/>
          <w:sz w:val="20"/>
          <w:szCs w:val="20"/>
          <w:lang w:val="en-GB"/>
        </w:rPr>
        <w:t xml:space="preserve"> dipengaruhi oleh belum matangnya fungsi hati bayi untuk memproses eritrosit (sel darah merah), sehingga terjadi penumpukan bilir</w:t>
      </w:r>
      <w:r w:rsidRPr="00786ABB">
        <w:rPr>
          <w:i/>
          <w:sz w:val="20"/>
          <w:szCs w:val="20"/>
          <w:lang w:val="en-GB"/>
        </w:rPr>
        <w:t>ubin.</w:t>
      </w:r>
      <w:proofErr w:type="gramEnd"/>
      <w:r w:rsidR="00E92988" w:rsidRPr="00786ABB">
        <w:rPr>
          <w:i/>
          <w:sz w:val="20"/>
          <w:szCs w:val="20"/>
          <w:lang w:val="en-GB"/>
        </w:rPr>
        <w:t xml:space="preserve"> </w:t>
      </w:r>
      <w:r w:rsidR="00E92988" w:rsidRPr="00786ABB">
        <w:rPr>
          <w:i/>
          <w:sz w:val="20"/>
          <w:szCs w:val="20"/>
          <w:lang w:val="es-ES"/>
        </w:rPr>
        <w:t>Tujuan</w:t>
      </w:r>
      <w:r w:rsidRPr="00786ABB">
        <w:rPr>
          <w:i/>
          <w:sz w:val="20"/>
          <w:szCs w:val="20"/>
          <w:lang w:val="es-ES"/>
        </w:rPr>
        <w:t xml:space="preserve"> penelitian ini</w:t>
      </w:r>
      <w:r w:rsidR="00E92988" w:rsidRPr="00786ABB">
        <w:rPr>
          <w:i/>
          <w:sz w:val="20"/>
          <w:szCs w:val="20"/>
          <w:lang w:val="es-ES"/>
        </w:rPr>
        <w:t xml:space="preserve"> untuk mengetahui </w:t>
      </w:r>
      <w:r w:rsidR="00E92988" w:rsidRPr="00786ABB">
        <w:rPr>
          <w:i/>
          <w:sz w:val="20"/>
          <w:szCs w:val="20"/>
        </w:rPr>
        <w:t>h</w:t>
      </w:r>
      <w:r w:rsidRPr="00786ABB">
        <w:rPr>
          <w:i/>
          <w:sz w:val="20"/>
          <w:szCs w:val="20"/>
        </w:rPr>
        <w:t>ubungan berat badan lahir bayi</w:t>
      </w:r>
      <w:r w:rsidR="00E92988" w:rsidRPr="00786ABB">
        <w:rPr>
          <w:i/>
          <w:sz w:val="20"/>
          <w:szCs w:val="20"/>
        </w:rPr>
        <w:t xml:space="preserve"> dengan kejadian hiperbilirubinemia di RSUD dr. Ibnu Soetowo Baturaja Kabupa</w:t>
      </w:r>
      <w:r w:rsidRPr="00786ABB">
        <w:rPr>
          <w:i/>
          <w:sz w:val="20"/>
          <w:szCs w:val="20"/>
        </w:rPr>
        <w:t>ten Ogan Komering Ulu Tahun 2019</w:t>
      </w:r>
      <w:r w:rsidR="00786ABB" w:rsidRPr="00786ABB">
        <w:rPr>
          <w:i/>
          <w:sz w:val="20"/>
          <w:szCs w:val="20"/>
          <w:lang w:val="sv-SE"/>
        </w:rPr>
        <w:t>. P</w:t>
      </w:r>
      <w:r w:rsidR="00E92988" w:rsidRPr="00786ABB">
        <w:rPr>
          <w:i/>
          <w:sz w:val="20"/>
          <w:szCs w:val="20"/>
          <w:lang w:val="sv-SE"/>
        </w:rPr>
        <w:t xml:space="preserve">enelitian ini menggunakan metode analitik dengan pendekatan cross sectional. Populasi penelitian ini adalah seluruh bayi usia 0-7 hari di ruang neonatus di </w:t>
      </w:r>
      <w:r w:rsidR="00E92988" w:rsidRPr="00786ABB">
        <w:rPr>
          <w:i/>
          <w:sz w:val="20"/>
          <w:szCs w:val="20"/>
        </w:rPr>
        <w:t xml:space="preserve">RSUD dr. </w:t>
      </w:r>
      <w:proofErr w:type="gramStart"/>
      <w:r w:rsidR="00E92988" w:rsidRPr="00786ABB">
        <w:rPr>
          <w:i/>
          <w:sz w:val="20"/>
          <w:szCs w:val="20"/>
        </w:rPr>
        <w:t>Ibnu Soetowo Baturaja Kabupa</w:t>
      </w:r>
      <w:r w:rsidRPr="00786ABB">
        <w:rPr>
          <w:i/>
          <w:sz w:val="20"/>
          <w:szCs w:val="20"/>
        </w:rPr>
        <w:t>ten Ogan Komering Ulu Tahun 2019</w:t>
      </w:r>
      <w:r w:rsidR="00E92988" w:rsidRPr="00786ABB">
        <w:rPr>
          <w:i/>
          <w:sz w:val="20"/>
          <w:szCs w:val="20"/>
          <w:lang w:val="sv-SE"/>
        </w:rPr>
        <w:t>, dengan sampel pengambilan sampel secara random</w:t>
      </w:r>
      <w:r w:rsidRPr="00786ABB">
        <w:rPr>
          <w:i/>
          <w:sz w:val="20"/>
          <w:szCs w:val="20"/>
          <w:lang w:val="sv-SE"/>
        </w:rPr>
        <w:t xml:space="preserve"> </w:t>
      </w:r>
      <w:r w:rsidR="00E92988" w:rsidRPr="00786ABB">
        <w:rPr>
          <w:i/>
          <w:sz w:val="20"/>
          <w:szCs w:val="20"/>
          <w:lang w:val="sv-SE"/>
        </w:rPr>
        <w:t>sampling</w:t>
      </w:r>
      <w:r w:rsidR="00E92988" w:rsidRPr="00786ABB">
        <w:rPr>
          <w:i/>
          <w:sz w:val="20"/>
          <w:szCs w:val="20"/>
          <w:lang w:val="es-ES"/>
        </w:rPr>
        <w:t>.</w:t>
      </w:r>
      <w:proofErr w:type="gramEnd"/>
      <w:r w:rsidR="00E92988" w:rsidRPr="00786ABB">
        <w:rPr>
          <w:i/>
          <w:sz w:val="20"/>
          <w:szCs w:val="20"/>
          <w:lang w:val="es-ES"/>
        </w:rPr>
        <w:t xml:space="preserve"> Analisa data menggunakan  analisa univariat dan analisa bivariat dengan menggunakan tabel distribusi dan uji statistik Chi-Square, dengan derajat kepercayaan 95%.</w:t>
      </w:r>
      <w:r w:rsidR="00786ABB" w:rsidRPr="00786ABB">
        <w:rPr>
          <w:i/>
          <w:sz w:val="20"/>
          <w:szCs w:val="20"/>
          <w:lang w:val="sv-SE"/>
        </w:rPr>
        <w:t xml:space="preserve"> P</w:t>
      </w:r>
      <w:r w:rsidR="00E92988" w:rsidRPr="00786ABB">
        <w:rPr>
          <w:i/>
          <w:sz w:val="20"/>
          <w:szCs w:val="20"/>
          <w:lang w:val="es-ES"/>
        </w:rPr>
        <w:t xml:space="preserve">ada analisa univariat, dari 203 responden didapatkan </w:t>
      </w:r>
      <w:r w:rsidR="00E92988" w:rsidRPr="00786ABB">
        <w:rPr>
          <w:i/>
          <w:color w:val="000000"/>
          <w:sz w:val="20"/>
          <w:szCs w:val="20"/>
        </w:rPr>
        <w:t>26,5</w:t>
      </w:r>
      <w:r w:rsidR="00E92988" w:rsidRPr="00786ABB">
        <w:rPr>
          <w:i/>
          <w:sz w:val="20"/>
          <w:szCs w:val="20"/>
          <w:lang w:val="es-ES"/>
        </w:rPr>
        <w:t xml:space="preserve">% </w:t>
      </w:r>
      <w:r w:rsidR="00E92988" w:rsidRPr="00786ABB">
        <w:rPr>
          <w:i/>
          <w:sz w:val="20"/>
          <w:szCs w:val="20"/>
          <w:lang w:val="sv-SE"/>
        </w:rPr>
        <w:t xml:space="preserve">mengalami </w:t>
      </w:r>
      <w:r w:rsidR="00E92988" w:rsidRPr="00786ABB">
        <w:rPr>
          <w:i/>
          <w:sz w:val="20"/>
          <w:szCs w:val="20"/>
        </w:rPr>
        <w:t>hiperbilirubinemia dan yang tidak hiperbilirubinemia 72,5%</w:t>
      </w:r>
      <w:r w:rsidR="00E92988" w:rsidRPr="00786ABB">
        <w:rPr>
          <w:i/>
          <w:sz w:val="20"/>
          <w:szCs w:val="20"/>
          <w:lang w:val="es-ES"/>
        </w:rPr>
        <w:t xml:space="preserve">, </w:t>
      </w:r>
      <w:r w:rsidR="00E92988" w:rsidRPr="00786ABB">
        <w:rPr>
          <w:i/>
          <w:color w:val="000000"/>
          <w:sz w:val="20"/>
          <w:szCs w:val="20"/>
        </w:rPr>
        <w:t xml:space="preserve">24,6% </w:t>
      </w:r>
      <w:r w:rsidR="00E92988" w:rsidRPr="00786ABB">
        <w:rPr>
          <w:i/>
          <w:sz w:val="20"/>
          <w:szCs w:val="20"/>
          <w:lang w:val="sv-SE"/>
        </w:rPr>
        <w:t>bayi dengan BBLR dan bayi yang tidak BBLR</w:t>
      </w:r>
      <w:r w:rsidR="00BD3FCE" w:rsidRPr="00786ABB">
        <w:rPr>
          <w:i/>
          <w:sz w:val="20"/>
          <w:szCs w:val="20"/>
          <w:lang w:val="id-ID"/>
        </w:rPr>
        <w:t xml:space="preserve"> </w:t>
      </w:r>
      <w:r w:rsidR="00E92988" w:rsidRPr="00786ABB">
        <w:rPr>
          <w:i/>
          <w:sz w:val="20"/>
          <w:szCs w:val="20"/>
          <w:lang w:val="es-ES"/>
        </w:rPr>
        <w:t xml:space="preserve">75,4%. Analisa bivariat di dapatkan hasil ada </w:t>
      </w:r>
      <w:r w:rsidR="00E92988" w:rsidRPr="00786ABB">
        <w:rPr>
          <w:i/>
          <w:sz w:val="20"/>
          <w:szCs w:val="20"/>
        </w:rPr>
        <w:t>hubungan BBLR  dengan kejadian hiperbilirubinemia</w:t>
      </w:r>
      <w:r w:rsidR="00E92988" w:rsidRPr="00786ABB">
        <w:rPr>
          <w:i/>
          <w:sz w:val="20"/>
          <w:szCs w:val="20"/>
          <w:lang w:val="es-ES"/>
        </w:rPr>
        <w:t xml:space="preserve"> (p value 0,000).</w:t>
      </w:r>
      <w:r w:rsidR="00786ABB" w:rsidRPr="00786ABB">
        <w:rPr>
          <w:i/>
          <w:sz w:val="20"/>
          <w:szCs w:val="20"/>
          <w:lang w:val="es-ES"/>
        </w:rPr>
        <w:t xml:space="preserve"> A</w:t>
      </w:r>
      <w:r w:rsidR="00E92988" w:rsidRPr="00786ABB">
        <w:rPr>
          <w:i/>
          <w:sz w:val="20"/>
          <w:szCs w:val="20"/>
          <w:lang w:val="es-ES"/>
        </w:rPr>
        <w:t xml:space="preserve">da hubungan BBLR </w:t>
      </w:r>
      <w:r w:rsidR="00E92988" w:rsidRPr="00786ABB">
        <w:rPr>
          <w:i/>
          <w:sz w:val="20"/>
          <w:szCs w:val="20"/>
        </w:rPr>
        <w:t>dengan kejadian hiperbilirubinemia</w:t>
      </w:r>
      <w:r w:rsidR="00E92988" w:rsidRPr="00786ABB">
        <w:rPr>
          <w:i/>
          <w:sz w:val="20"/>
          <w:szCs w:val="20"/>
          <w:lang w:val="es-ES"/>
        </w:rPr>
        <w:t>.</w:t>
      </w:r>
    </w:p>
    <w:p w:rsidR="00D41FE9" w:rsidRPr="00786ABB" w:rsidRDefault="00D41FE9" w:rsidP="00BD3FCE">
      <w:pPr>
        <w:jc w:val="both"/>
        <w:rPr>
          <w:b/>
          <w:sz w:val="20"/>
          <w:szCs w:val="20"/>
          <w:lang w:val="id-ID"/>
        </w:rPr>
      </w:pPr>
    </w:p>
    <w:p w:rsidR="00E92988" w:rsidRPr="00786ABB" w:rsidRDefault="00E92988" w:rsidP="00BD3FCE">
      <w:pPr>
        <w:jc w:val="both"/>
        <w:rPr>
          <w:sz w:val="20"/>
          <w:szCs w:val="20"/>
          <w:lang w:val="id-ID"/>
        </w:rPr>
      </w:pPr>
      <w:r w:rsidRPr="00786ABB">
        <w:rPr>
          <w:b/>
          <w:sz w:val="20"/>
          <w:szCs w:val="20"/>
          <w:lang w:val="es-ES"/>
        </w:rPr>
        <w:t>Kata Kunci</w:t>
      </w:r>
      <w:r w:rsidRPr="00786ABB">
        <w:rPr>
          <w:sz w:val="20"/>
          <w:szCs w:val="20"/>
          <w:lang w:val="es-ES"/>
        </w:rPr>
        <w:t>:</w:t>
      </w:r>
      <w:r w:rsidR="00BD3FCE" w:rsidRPr="00786ABB">
        <w:rPr>
          <w:sz w:val="20"/>
          <w:szCs w:val="20"/>
          <w:lang w:val="id-ID"/>
        </w:rPr>
        <w:t xml:space="preserve"> </w:t>
      </w:r>
      <w:r w:rsidRPr="00786ABB">
        <w:rPr>
          <w:sz w:val="20"/>
          <w:szCs w:val="20"/>
          <w:lang w:val="es-ES"/>
        </w:rPr>
        <w:t xml:space="preserve">BBLR, </w:t>
      </w:r>
      <w:r w:rsidRPr="00786ABB">
        <w:rPr>
          <w:i/>
          <w:sz w:val="20"/>
          <w:szCs w:val="20"/>
          <w:lang w:val="sv-SE"/>
        </w:rPr>
        <w:t>cross sectional</w:t>
      </w:r>
      <w:r w:rsidR="00BD3FCE" w:rsidRPr="00786ABB">
        <w:rPr>
          <w:i/>
          <w:sz w:val="20"/>
          <w:szCs w:val="20"/>
          <w:lang w:val="id-ID"/>
        </w:rPr>
        <w:t xml:space="preserve">, </w:t>
      </w:r>
      <w:r w:rsidR="00BD3FCE" w:rsidRPr="00786ABB">
        <w:rPr>
          <w:sz w:val="20"/>
          <w:szCs w:val="20"/>
        </w:rPr>
        <w:t xml:space="preserve"> hiperbilirubinemia</w:t>
      </w:r>
      <w:r w:rsidR="00BD3FCE" w:rsidRPr="00786ABB">
        <w:rPr>
          <w:sz w:val="20"/>
          <w:szCs w:val="20"/>
          <w:lang w:val="id-ID"/>
        </w:rPr>
        <w:t>.</w:t>
      </w:r>
    </w:p>
    <w:p w:rsidR="00786ABB" w:rsidRPr="00786ABB" w:rsidRDefault="00786ABB" w:rsidP="00BD3FCE">
      <w:pPr>
        <w:jc w:val="both"/>
        <w:rPr>
          <w:szCs w:val="20"/>
        </w:rPr>
      </w:pPr>
    </w:p>
    <w:p w:rsidR="00E92988" w:rsidRDefault="00D858BF" w:rsidP="00786ABB">
      <w:pPr>
        <w:jc w:val="center"/>
        <w:rPr>
          <w:b/>
        </w:rPr>
      </w:pPr>
      <w:r w:rsidRPr="00D858BF">
        <w:rPr>
          <w:b/>
          <w:lang w:val="id-ID"/>
        </w:rPr>
        <w:t>ABSTRACT</w:t>
      </w:r>
    </w:p>
    <w:p w:rsidR="00786ABB" w:rsidRPr="00786ABB" w:rsidRDefault="00786ABB" w:rsidP="00786ABB">
      <w:pPr>
        <w:jc w:val="center"/>
        <w:rPr>
          <w:b/>
          <w:sz w:val="20"/>
          <w:szCs w:val="20"/>
        </w:rPr>
      </w:pPr>
    </w:p>
    <w:p w:rsidR="00D41FE9" w:rsidRPr="00786ABB" w:rsidRDefault="00786ABB" w:rsidP="00786ABB">
      <w:pPr>
        <w:pStyle w:val="HTMLPreformatted"/>
        <w:jc w:val="both"/>
        <w:rPr>
          <w:rFonts w:ascii="Times New Roman" w:hAnsi="Times New Roman" w:cs="Times New Roman"/>
          <w:i/>
          <w:lang w:val="en-US"/>
        </w:rPr>
      </w:pPr>
      <w:r w:rsidRPr="00786ABB">
        <w:rPr>
          <w:rFonts w:ascii="Times New Roman" w:hAnsi="Times New Roman" w:cs="Times New Roman"/>
          <w:i/>
        </w:rPr>
        <w:t>Hyperbilirubinemia is one of the clinical phenomena most often found in neonates occurring in the first week of life, which is also one of the factors causing infant death is influenced by the immature liver function of the baby to process erythrocytes (red blood cells), resulting in the accumulation of bilirubin. The purpose of this study was to determine the relationship of birth weight of infants with the incidence of hyperbilirubinemia in RSUD dr. Ibnu Soetowo Baturaja Ogan Komering Ulu Regency in 2019. This study uses analytic methods with a cross-sectional approach. The study population was all infants aged 0-7 days in the neonatal room at RSUD dr. Ibnu Soetowo Baturaja Ogan Komering Ulu Regency in 2019, with a random sampling. Data analysis uses univariate analysis and bivariate analysis using distribution tables and Chi-Square statistical tests, with a 95% confidence level. In the univariate analysis, of 203 respondents found 26.5% had hyperbilirubinemia and those without hyperbilirubinemia 72.5%, 24.6% of infants with LBW and non-LBW infants 75.4%. Bivariate analysis showed that there was an LBW relationship with the incidence of hyperbilirubinemia (p-value 0,000).</w:t>
      </w:r>
    </w:p>
    <w:p w:rsidR="00786ABB" w:rsidRPr="00786ABB" w:rsidRDefault="00786ABB" w:rsidP="00D858BF">
      <w:pPr>
        <w:pStyle w:val="HTMLPreformatted"/>
        <w:jc w:val="both"/>
        <w:rPr>
          <w:rFonts w:ascii="Times New Roman" w:hAnsi="Times New Roman" w:cs="Times New Roman"/>
          <w:b/>
          <w:lang w:val="en-US"/>
        </w:rPr>
      </w:pPr>
    </w:p>
    <w:p w:rsidR="00D858BF" w:rsidRPr="00786ABB" w:rsidRDefault="00D858BF" w:rsidP="00D858BF">
      <w:pPr>
        <w:pStyle w:val="HTMLPreformatted"/>
        <w:jc w:val="both"/>
        <w:rPr>
          <w:rFonts w:ascii="Times New Roman" w:hAnsi="Times New Roman" w:cs="Times New Roman"/>
          <w:lang w:val="en-US"/>
        </w:rPr>
      </w:pPr>
      <w:r w:rsidRPr="00786ABB">
        <w:rPr>
          <w:rFonts w:ascii="Times New Roman" w:hAnsi="Times New Roman" w:cs="Times New Roman"/>
          <w:b/>
        </w:rPr>
        <w:t>Keywords</w:t>
      </w:r>
      <w:r w:rsidRPr="00786ABB">
        <w:rPr>
          <w:rFonts w:ascii="Times New Roman" w:hAnsi="Times New Roman" w:cs="Times New Roman"/>
        </w:rPr>
        <w:t>: LBW, cross sectional, hyperbilirubinemia.</w:t>
      </w:r>
    </w:p>
    <w:p w:rsidR="00786ABB" w:rsidRDefault="00786ABB" w:rsidP="00D858BF">
      <w:pPr>
        <w:pStyle w:val="HTMLPreformatted"/>
        <w:jc w:val="both"/>
        <w:rPr>
          <w:rFonts w:ascii="Times New Roman" w:hAnsi="Times New Roman" w:cs="Times New Roman"/>
          <w:sz w:val="24"/>
          <w:szCs w:val="24"/>
          <w:lang w:val="en-US"/>
        </w:rPr>
      </w:pPr>
    </w:p>
    <w:p w:rsidR="00786ABB" w:rsidRDefault="00786ABB" w:rsidP="00D858BF">
      <w:pPr>
        <w:pStyle w:val="HTMLPreformatted"/>
        <w:jc w:val="both"/>
        <w:rPr>
          <w:rFonts w:ascii="Times New Roman" w:hAnsi="Times New Roman" w:cs="Times New Roman"/>
          <w:sz w:val="24"/>
          <w:szCs w:val="24"/>
          <w:lang w:val="en-US"/>
        </w:rPr>
      </w:pPr>
    </w:p>
    <w:p w:rsidR="00786ABB" w:rsidRDefault="00786ABB" w:rsidP="00D858BF">
      <w:pPr>
        <w:pStyle w:val="HTMLPreformatted"/>
        <w:jc w:val="both"/>
        <w:rPr>
          <w:rFonts w:ascii="Times New Roman" w:hAnsi="Times New Roman" w:cs="Times New Roman"/>
          <w:sz w:val="24"/>
          <w:szCs w:val="24"/>
          <w:lang w:val="en-US"/>
        </w:rPr>
      </w:pPr>
    </w:p>
    <w:p w:rsidR="00786ABB" w:rsidRDefault="00786ABB" w:rsidP="00D858BF">
      <w:pPr>
        <w:pStyle w:val="HTMLPreformatted"/>
        <w:jc w:val="both"/>
        <w:rPr>
          <w:rFonts w:ascii="Times New Roman" w:hAnsi="Times New Roman" w:cs="Times New Roman"/>
          <w:sz w:val="24"/>
          <w:szCs w:val="24"/>
          <w:lang w:val="en-US"/>
        </w:rPr>
      </w:pPr>
    </w:p>
    <w:p w:rsidR="00786ABB" w:rsidRDefault="00786ABB" w:rsidP="00D858BF">
      <w:pPr>
        <w:pStyle w:val="HTMLPreformatted"/>
        <w:jc w:val="both"/>
        <w:rPr>
          <w:rFonts w:ascii="Times New Roman" w:hAnsi="Times New Roman" w:cs="Times New Roman"/>
          <w:sz w:val="24"/>
          <w:szCs w:val="24"/>
          <w:lang w:val="en-US"/>
        </w:rPr>
      </w:pPr>
    </w:p>
    <w:p w:rsidR="00786ABB" w:rsidRDefault="00786ABB" w:rsidP="00D858BF">
      <w:pPr>
        <w:pStyle w:val="HTMLPreformatted"/>
        <w:jc w:val="both"/>
        <w:rPr>
          <w:rFonts w:ascii="Times New Roman" w:hAnsi="Times New Roman" w:cs="Times New Roman"/>
          <w:sz w:val="24"/>
          <w:szCs w:val="24"/>
          <w:lang w:val="en-US"/>
        </w:rPr>
      </w:pPr>
    </w:p>
    <w:p w:rsidR="00786ABB" w:rsidRDefault="00786ABB" w:rsidP="00D858BF">
      <w:pPr>
        <w:pStyle w:val="HTMLPreformatted"/>
        <w:jc w:val="both"/>
        <w:rPr>
          <w:rFonts w:ascii="Times New Roman" w:hAnsi="Times New Roman" w:cs="Times New Roman"/>
          <w:sz w:val="24"/>
          <w:szCs w:val="24"/>
          <w:lang w:val="en-US"/>
        </w:rPr>
      </w:pPr>
    </w:p>
    <w:p w:rsidR="00786ABB" w:rsidRDefault="00786ABB" w:rsidP="00D858BF">
      <w:pPr>
        <w:pStyle w:val="HTMLPreformatted"/>
        <w:jc w:val="both"/>
        <w:rPr>
          <w:rFonts w:ascii="Times New Roman" w:hAnsi="Times New Roman" w:cs="Times New Roman"/>
          <w:sz w:val="24"/>
          <w:szCs w:val="24"/>
          <w:lang w:val="en-US"/>
        </w:rPr>
      </w:pPr>
    </w:p>
    <w:p w:rsidR="00786ABB" w:rsidRDefault="00786ABB" w:rsidP="00D858BF">
      <w:pPr>
        <w:pStyle w:val="HTMLPreformatted"/>
        <w:jc w:val="both"/>
        <w:rPr>
          <w:rFonts w:ascii="Times New Roman" w:hAnsi="Times New Roman" w:cs="Times New Roman"/>
          <w:sz w:val="24"/>
          <w:szCs w:val="24"/>
          <w:lang w:val="en-US"/>
        </w:rPr>
      </w:pPr>
    </w:p>
    <w:p w:rsidR="00786ABB" w:rsidRPr="00786ABB" w:rsidRDefault="00786ABB" w:rsidP="00D858BF">
      <w:pPr>
        <w:pStyle w:val="HTMLPreformatted"/>
        <w:jc w:val="both"/>
        <w:rPr>
          <w:rFonts w:ascii="Times New Roman" w:hAnsi="Times New Roman" w:cs="Times New Roman"/>
          <w:sz w:val="24"/>
          <w:szCs w:val="24"/>
          <w:lang w:val="en-US"/>
        </w:rPr>
      </w:pPr>
    </w:p>
    <w:p w:rsidR="00D858BF" w:rsidRPr="00D858BF" w:rsidRDefault="00D858BF" w:rsidP="00E92988">
      <w:pPr>
        <w:jc w:val="both"/>
        <w:rPr>
          <w:sz w:val="20"/>
          <w:szCs w:val="20"/>
          <w:lang w:val="id-ID"/>
        </w:rPr>
        <w:sectPr w:rsidR="00D858BF" w:rsidRPr="00D858BF" w:rsidSect="00DC5C61">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20" w:footer="720" w:gutter="0"/>
          <w:pgBorders>
            <w:top w:val="none" w:sz="0" w:space="1" w:color="auto"/>
            <w:left w:val="none" w:sz="0" w:space="4" w:color="auto"/>
            <w:bottom w:val="none" w:sz="0" w:space="1" w:color="auto"/>
            <w:right w:val="none" w:sz="0" w:space="4" w:color="auto"/>
          </w:pgBorders>
          <w:pgNumType w:start="36"/>
          <w:cols w:space="720"/>
          <w:docGrid w:linePitch="360"/>
        </w:sectPr>
      </w:pPr>
    </w:p>
    <w:p w:rsidR="00F7260F" w:rsidRDefault="00E92988" w:rsidP="00F7260F">
      <w:pPr>
        <w:spacing w:after="240"/>
        <w:jc w:val="both"/>
        <w:rPr>
          <w:b/>
        </w:rPr>
      </w:pPr>
      <w:r>
        <w:rPr>
          <w:b/>
        </w:rPr>
        <w:lastRenderedPageBreak/>
        <w:t>PENDAHULUAN</w:t>
      </w:r>
    </w:p>
    <w:p w:rsidR="00F7260F" w:rsidRDefault="00E92988" w:rsidP="00F7260F">
      <w:pPr>
        <w:spacing w:after="240"/>
        <w:jc w:val="both"/>
      </w:pPr>
      <w:r>
        <w:t xml:space="preserve">Hiperbilirubinemia atau yang dikenal dengan istilah ikterus adalah keadaan klinis pada bayi yang ditandai oleh pewarnaan ikterus pada kulit dan sklera akibat peningkatan </w:t>
      </w:r>
      <w:proofErr w:type="gramStart"/>
      <w:r>
        <w:t>kadar</w:t>
      </w:r>
      <w:proofErr w:type="gramEnd"/>
      <w:r>
        <w:t xml:space="preserve"> bilirubin serum. </w:t>
      </w:r>
      <w:proofErr w:type="gramStart"/>
      <w:r>
        <w:t>Hiperbilirubinemia merupakan salah satu fenomena klinis yang paling sering ditemukan pada neonatus terjadi pada minggu pertama kehidupan.</w:t>
      </w:r>
      <w:proofErr w:type="gramEnd"/>
      <w:r>
        <w:t xml:space="preserve"> </w:t>
      </w:r>
      <w:proofErr w:type="gramStart"/>
      <w:r>
        <w:t>Sebagian besar kejadian ikterus neonatorum bersifat fisiologis, namun yang non fisiologis harus diwaspadai sebab dapat menimbulkan komplikasi yang berat dan fatal jika pengobatan terlambat</w:t>
      </w:r>
      <w:r>
        <w:rPr>
          <w:vertAlign w:val="superscript"/>
          <w:lang w:val="id-ID"/>
        </w:rPr>
        <w:t>1</w:t>
      </w:r>
      <w:r>
        <w:t>.</w:t>
      </w:r>
      <w:proofErr w:type="gramEnd"/>
    </w:p>
    <w:p w:rsidR="00F7260F" w:rsidRDefault="00E92988" w:rsidP="00F7260F">
      <w:pPr>
        <w:spacing w:after="240"/>
        <w:jc w:val="both"/>
      </w:pPr>
      <w:proofErr w:type="gramStart"/>
      <w:r>
        <w:t xml:space="preserve">Ikterus neonatorum merupakan </w:t>
      </w:r>
      <w:r>
        <w:rPr>
          <w:lang w:val="id-ID"/>
        </w:rPr>
        <w:t>kejadian</w:t>
      </w:r>
      <w:r>
        <w:t xml:space="preserve"> biologis yang timbul akibat tingginya produksi dan rendahnya ekskresi bilirubin selama masa transisi pada neonatus.</w:t>
      </w:r>
      <w:proofErr w:type="gramEnd"/>
      <w:r>
        <w:t xml:space="preserve"> </w:t>
      </w:r>
      <w:proofErr w:type="gramStart"/>
      <w:r>
        <w:t>Pada neonatus produksi bilirubin 2 sampai 3 kali lebih tinggi dibanding orang dewasa normal.</w:t>
      </w:r>
      <w:proofErr w:type="gramEnd"/>
      <w:r>
        <w:t xml:space="preserve"> </w:t>
      </w:r>
      <w:proofErr w:type="gramStart"/>
      <w:r>
        <w:t>Hal ini dapat terjadi karena jumlah eritosit pada neonatus lebih banyak dan usianya lebih pendek.</w:t>
      </w:r>
      <w:proofErr w:type="gramEnd"/>
      <w:r>
        <w:t xml:space="preserve"> </w:t>
      </w:r>
      <w:proofErr w:type="gramStart"/>
      <w:r>
        <w:t xml:space="preserve">Hal ini bisa diakibatkan oleh pemecahan eritrosit yang berlebihan, gangguan </w:t>
      </w:r>
      <w:r>
        <w:rPr>
          <w:i/>
          <w:iCs/>
        </w:rPr>
        <w:t>clearance metabolism</w:t>
      </w:r>
      <w:r>
        <w:t>, gangguan konjugasi atau gangguan ekskresi bersama air.</w:t>
      </w:r>
      <w:proofErr w:type="gramEnd"/>
      <w:r>
        <w:t xml:space="preserve"> </w:t>
      </w:r>
      <w:proofErr w:type="gramStart"/>
      <w:r>
        <w:t>Hiperbilirubinemia indirek dijumpai pada sekitar 60% bayi aterm dan 80% bayi premature.</w:t>
      </w:r>
      <w:proofErr w:type="gramEnd"/>
      <w:r>
        <w:t xml:space="preserve"> </w:t>
      </w:r>
      <w:proofErr w:type="gramStart"/>
      <w:r>
        <w:t>Angka kejadian menunjukkan bahwa lebih 50% bayi baru lahir menderita ikterus yang dapat dideteksi secara klinis dalam minggu pertama kehidupannya</w:t>
      </w:r>
      <w:r>
        <w:rPr>
          <w:vertAlign w:val="superscript"/>
          <w:lang w:val="id-ID"/>
        </w:rPr>
        <w:t>2</w:t>
      </w:r>
      <w:r>
        <w:t>.</w:t>
      </w:r>
      <w:proofErr w:type="gramEnd"/>
    </w:p>
    <w:p w:rsidR="00F7260F" w:rsidRDefault="00E92988" w:rsidP="00F7260F">
      <w:pPr>
        <w:spacing w:after="240"/>
        <w:jc w:val="both"/>
      </w:pPr>
      <w:r>
        <w:t>Ikterus pada neonatus dapat dibedakan secara dua macam</w:t>
      </w:r>
      <w:proofErr w:type="gramStart"/>
      <w:r>
        <w:t>,yaitu</w:t>
      </w:r>
      <w:proofErr w:type="gramEnd"/>
      <w:r>
        <w:t xml:space="preserve"> fisiologis dan patologis. Ikterus neonatorum fisiologis timbul akibat peningkatan dan akumulasi bilirubin indirek &lt; 5 mg/dl/24 jam yaitu yang terjadi 24 jam pasca salin. </w:t>
      </w:r>
      <w:proofErr w:type="gramStart"/>
      <w:r>
        <w:t>Hal ini karena metabolisme bilirubin neonatus belum sempurna yaitu masih dalam masa transisi dari masa janin ke masa dewasa.</w:t>
      </w:r>
      <w:proofErr w:type="gramEnd"/>
      <w:r>
        <w:t xml:space="preserve"> Ikterus neonatorum adalah ikterus yang timbul dalam 24 jam pertama pasca salin </w:t>
      </w:r>
      <w:r>
        <w:lastRenderedPageBreak/>
        <w:t>dimana peningkatan dan akumulasi bilirubin indirek &gt; 5 mg/dl/24 jam dan ikterus akan tetap menetap hingga 8 hari atau lebih pada bayi cukup bulan (matur) sedangkan pada bayi kurang bulan (prematur) ikterus akan tetap ada hingga hari ke-14 atau lebih</w:t>
      </w:r>
      <w:r>
        <w:rPr>
          <w:vertAlign w:val="superscript"/>
          <w:lang w:val="id-ID"/>
        </w:rPr>
        <w:t>3</w:t>
      </w:r>
      <w:r>
        <w:t>.</w:t>
      </w:r>
    </w:p>
    <w:p w:rsidR="00F7260F" w:rsidRDefault="00E92988" w:rsidP="00F7260F">
      <w:pPr>
        <w:spacing w:after="240"/>
        <w:jc w:val="both"/>
        <w:rPr>
          <w:b/>
        </w:rPr>
      </w:pPr>
      <w:r>
        <w:t xml:space="preserve">Ikterus neonatorum patologis dapat ditimbulkan oleh beberapa penyakit seperti anemia hemolitik, polisitemia, </w:t>
      </w:r>
      <w:r>
        <w:rPr>
          <w:i/>
        </w:rPr>
        <w:t>ekstravasasi</w:t>
      </w:r>
      <w:r>
        <w:t xml:space="preserve"> darah (</w:t>
      </w:r>
      <w:r>
        <w:rPr>
          <w:i/>
        </w:rPr>
        <w:t>hematoma</w:t>
      </w:r>
      <w:r>
        <w:t xml:space="preserve">), sirkulasi enterohepatik yang berlebihan, defek konjugasi, berkurangnya </w:t>
      </w:r>
      <w:r>
        <w:rPr>
          <w:i/>
          <w:iCs/>
        </w:rPr>
        <w:t xml:space="preserve">uptake </w:t>
      </w:r>
      <w:r>
        <w:t xml:space="preserve">bilirubin oleh hepar, gangguan transportasi bilirubin direk yang keluar dari hepatosit atau oleh karena obstruksi aliran empedu. </w:t>
      </w:r>
      <w:proofErr w:type="gramStart"/>
      <w:r>
        <w:t>Faktor resiko yang dianggap sebagai pemicu timbulnya ikterus neonatorum yaitu kehamilan kurang bulan (prematur), bayi berat badan lahir rendah, persalinan patologis, asfiksia, ketuban pecah dini, ketuban keruh dan inkompatibilitas golongan darah ibu dan anak</w:t>
      </w:r>
      <w:r>
        <w:rPr>
          <w:vertAlign w:val="superscript"/>
          <w:lang w:val="id-ID"/>
        </w:rPr>
        <w:t>4</w:t>
      </w:r>
      <w:r>
        <w:t>.</w:t>
      </w:r>
      <w:proofErr w:type="gramEnd"/>
    </w:p>
    <w:p w:rsidR="00F7260F" w:rsidRDefault="00E92988" w:rsidP="00F7260F">
      <w:pPr>
        <w:spacing w:after="240"/>
        <w:jc w:val="both"/>
      </w:pPr>
      <w:r>
        <w:t xml:space="preserve">Menurut </w:t>
      </w:r>
      <w:r>
        <w:rPr>
          <w:i/>
        </w:rPr>
        <w:t>World Health Organization</w:t>
      </w:r>
      <w:r>
        <w:t xml:space="preserve"> (WHO), di dunia kedokteran menyebutkan bahwa 70% bayi mengalami kuning/ikterus.Di Amerika Serikat,dari 4 juta bayi yang lahir setiap tahunnya,sekitar 65% mengalami ikterus. Sensus yang dilakukan NegaraEropa pada tahun 2011 menemukan sekitar 75% bayi baru lahir mengalami ikterus pada minggu pertama kehidupannya.</w:t>
      </w:r>
      <w:r w:rsidR="00F7260F">
        <w:t xml:space="preserve"> </w:t>
      </w:r>
      <w:r>
        <w:t>Angka kematian bayi di Negara-negara ASEAN seperti Singapura 3 per 1000 kelahiran hidup,Vietnam 18 per 1000 kelahiran hidup dan Philipina 26 per 1000 kelahiran hidup,sedangkan angka kematian bayi di Indonesia mempunyai angka kematian tertinggi 330 per 100.000 dan angka kematian perinatal 420 per 100.000 persalinan hidup dengan perkiraan persalinan di Indonesia setiap tahunnya sekitar 5.000.000 jiwa</w:t>
      </w:r>
      <w:r>
        <w:rPr>
          <w:vertAlign w:val="superscript"/>
          <w:lang w:val="id-ID"/>
        </w:rPr>
        <w:t>5</w:t>
      </w:r>
      <w:r>
        <w:t>.</w:t>
      </w:r>
    </w:p>
    <w:p w:rsidR="006852F0" w:rsidRDefault="00E92988" w:rsidP="006852F0">
      <w:pPr>
        <w:spacing w:after="240"/>
        <w:jc w:val="both"/>
        <w:rPr>
          <w:b/>
        </w:rPr>
      </w:pPr>
      <w:r>
        <w:lastRenderedPageBreak/>
        <w:t xml:space="preserve">Angka kejadian ikterus bayi di Indonesia sekitar 25% bayi cukup bulan yang mengalami perubahan warna kulit,mukosa dan wajah mengalami kekuningan (ikterus),dan pada bayi kurang bulan (premature) kejadiannya lebih sering yaitu 75%. </w:t>
      </w:r>
      <w:proofErr w:type="gramStart"/>
      <w:r>
        <w:t>Di Indonesia didapatkan data dari beberapa rumah sakit pendidikan.</w:t>
      </w:r>
      <w:proofErr w:type="gramEnd"/>
      <w:r>
        <w:t xml:space="preserve"> </w:t>
      </w:r>
      <w:proofErr w:type="gramStart"/>
      <w:r>
        <w:t>Insidens RSCM tahun 2013 menemukan prevalensi ikterus pada bayi baru lahir sebesar 58%.</w:t>
      </w:r>
      <w:proofErr w:type="gramEnd"/>
      <w:r>
        <w:t xml:space="preserve"> </w:t>
      </w:r>
      <w:proofErr w:type="gramStart"/>
      <w:r>
        <w:t>RS.</w:t>
      </w:r>
      <w:proofErr w:type="gramEnd"/>
      <w:r>
        <w:t xml:space="preserve"> Dr. Sarditjo melaporkan sebanyak 85% bayi cukup bulan sehat mempunyai kadar bilirubin diatas 5 mg/dl dan 23</w:t>
      </w:r>
      <w:proofErr w:type="gramStart"/>
      <w:r>
        <w:t>,8</w:t>
      </w:r>
      <w:proofErr w:type="gramEnd"/>
      <w:r>
        <w:t>% memiliki kadar bilirubin diatas 13 mg/dl</w:t>
      </w:r>
      <w:r>
        <w:rPr>
          <w:vertAlign w:val="superscript"/>
          <w:lang w:val="id-ID"/>
        </w:rPr>
        <w:t>6</w:t>
      </w:r>
      <w:r>
        <w:t>.</w:t>
      </w:r>
    </w:p>
    <w:p w:rsidR="006852F0" w:rsidRDefault="00E92988" w:rsidP="006852F0">
      <w:pPr>
        <w:spacing w:after="240"/>
        <w:jc w:val="both"/>
        <w:rPr>
          <w:b/>
        </w:rPr>
      </w:pPr>
      <w:r>
        <w:t xml:space="preserve">Data yang diperoleh dari RSUD dr. Ibnu Soetowo angka kejadian hiperbilirubin didapatkan data insidens hiperbilirubin di RSUD dr. Ibnu Soetowo sebesar 62 dari 1.011 bayi lahir hidup pada tahun 2013 dan tahun 2014 insidens hiperbilirubin sebesar 73 dari 1.352 kelahiran hidup dan tahun 2015 insidens hiperbilirubin sebesar 105 dari 1.724 kelahiran hidup. </w:t>
      </w:r>
      <w:proofErr w:type="gramStart"/>
      <w:r>
        <w:t>Untuk tahun 2016 dari bulan Januari-April penderita hiperbilirubin sebesar 57 dari 413 kelahiran hidup</w:t>
      </w:r>
      <w:r>
        <w:rPr>
          <w:vertAlign w:val="superscript"/>
          <w:lang w:val="id-ID"/>
        </w:rPr>
        <w:t>7</w:t>
      </w:r>
      <w:r>
        <w:t>.</w:t>
      </w:r>
      <w:proofErr w:type="gramEnd"/>
    </w:p>
    <w:p w:rsidR="006852F0" w:rsidRDefault="006852F0" w:rsidP="006852F0">
      <w:pPr>
        <w:spacing w:after="240"/>
        <w:jc w:val="both"/>
        <w:rPr>
          <w:b/>
        </w:rPr>
      </w:pPr>
    </w:p>
    <w:p w:rsidR="006852F0" w:rsidRDefault="00E92988" w:rsidP="006852F0">
      <w:pPr>
        <w:spacing w:after="240"/>
        <w:jc w:val="both"/>
        <w:rPr>
          <w:b/>
        </w:rPr>
      </w:pPr>
      <w:r>
        <w:rPr>
          <w:b/>
        </w:rPr>
        <w:lastRenderedPageBreak/>
        <w:t>METODE</w:t>
      </w:r>
    </w:p>
    <w:p w:rsidR="006852F0" w:rsidRDefault="00E92988" w:rsidP="006852F0">
      <w:pPr>
        <w:spacing w:after="240"/>
        <w:jc w:val="both"/>
        <w:rPr>
          <w:b/>
        </w:rPr>
      </w:pPr>
      <w:proofErr w:type="gramStart"/>
      <w:r>
        <w:t xml:space="preserve">Jenis penelitian ini menggunakan metode survey analitik dengan pendekatan </w:t>
      </w:r>
      <w:r>
        <w:rPr>
          <w:i/>
        </w:rPr>
        <w:t xml:space="preserve">cross sectional </w:t>
      </w:r>
      <w:r>
        <w:rPr>
          <w:vertAlign w:val="superscript"/>
          <w:lang w:val="id-ID"/>
        </w:rPr>
        <w:t>8</w:t>
      </w:r>
      <w:r>
        <w:t>.</w:t>
      </w:r>
      <w:proofErr w:type="gramEnd"/>
    </w:p>
    <w:p w:rsidR="006852F0" w:rsidRDefault="00E92988" w:rsidP="006852F0">
      <w:pPr>
        <w:spacing w:after="240"/>
        <w:jc w:val="both"/>
      </w:pPr>
      <w:r>
        <w:rPr>
          <w:lang w:val="sv-SE"/>
        </w:rPr>
        <w:t xml:space="preserve">Populasi penelitian ini adalah seluruh bayi di ruang neonatus </w:t>
      </w:r>
      <w:r>
        <w:t>RSUD dr. Ibnu Soetowo</w:t>
      </w:r>
      <w:r>
        <w:rPr>
          <w:lang w:val="sv-SE"/>
        </w:rPr>
        <w:t xml:space="preserve"> Kabupaten OKU dari Bulan Januar</w:t>
      </w:r>
      <w:r w:rsidR="00DD71F3">
        <w:rPr>
          <w:lang w:val="sv-SE"/>
        </w:rPr>
        <w:t xml:space="preserve">i-April, </w:t>
      </w:r>
      <w:r>
        <w:t xml:space="preserve">Sampel penelitian menggunakan metode </w:t>
      </w:r>
      <w:r>
        <w:rPr>
          <w:i/>
          <w:lang w:val="id-ID"/>
        </w:rPr>
        <w:t>Simple Random</w:t>
      </w:r>
      <w:r>
        <w:rPr>
          <w:i/>
        </w:rPr>
        <w:t xml:space="preserve"> sampling </w:t>
      </w:r>
      <w:r>
        <w:t>dan didapatkan</w:t>
      </w:r>
      <w:r w:rsidR="00DD71F3">
        <w:rPr>
          <w:lang w:val="id-ID"/>
        </w:rPr>
        <w:t xml:space="preserve"> </w:t>
      </w:r>
      <w:r w:rsidR="00DD71F3">
        <w:rPr>
          <w:lang w:val="en-ID"/>
        </w:rPr>
        <w:t>31</w:t>
      </w:r>
      <w:r>
        <w:rPr>
          <w:lang w:val="id-ID"/>
        </w:rPr>
        <w:t xml:space="preserve">3 </w:t>
      </w:r>
      <w:r>
        <w:t xml:space="preserve">orang. Penelitian dilaksanakan di </w:t>
      </w:r>
      <w:r>
        <w:rPr>
          <w:lang w:val="id-ID"/>
        </w:rPr>
        <w:t xml:space="preserve">RSUD Dr. Ibnu Sutowo </w:t>
      </w:r>
      <w:proofErr w:type="gramStart"/>
      <w:r>
        <w:rPr>
          <w:lang w:val="id-ID"/>
        </w:rPr>
        <w:t xml:space="preserve">Baturaja </w:t>
      </w:r>
      <w:r>
        <w:t xml:space="preserve"> Kabupaten</w:t>
      </w:r>
      <w:proofErr w:type="gramEnd"/>
      <w:r>
        <w:t xml:space="preserve"> Ogan Komering Ulu.</w:t>
      </w:r>
    </w:p>
    <w:p w:rsidR="006852F0" w:rsidRDefault="00E92988" w:rsidP="006852F0">
      <w:pPr>
        <w:spacing w:after="240"/>
        <w:jc w:val="both"/>
        <w:rPr>
          <w:b/>
        </w:rPr>
      </w:pPr>
      <w:proofErr w:type="gramStart"/>
      <w:r>
        <w:t>Data sekunder diperoleh dari Dinas Kabupaten Ogan Komering Ulu dan dari Kamar Bersalin RSUD Dr. H. Ibnu Sutowo Baturaja Kabupaten Ogan Komering Ulu.</w:t>
      </w:r>
      <w:proofErr w:type="gramEnd"/>
      <w:r>
        <w:t xml:space="preserve"> </w:t>
      </w:r>
    </w:p>
    <w:p w:rsidR="00DD71F3" w:rsidRPr="006852F0" w:rsidRDefault="00E92988" w:rsidP="006852F0">
      <w:pPr>
        <w:spacing w:after="240"/>
        <w:jc w:val="both"/>
        <w:rPr>
          <w:b/>
        </w:rPr>
      </w:pPr>
      <w:r>
        <w:rPr>
          <w:lang w:val="sv-SE"/>
        </w:rPr>
        <w:t xml:space="preserve">Untuk menguji tingkat kemaknaan dilakukan uji statistik </w:t>
      </w:r>
      <w:r>
        <w:rPr>
          <w:i/>
          <w:lang w:val="sv-SE"/>
        </w:rPr>
        <w:t xml:space="preserve">Chi Square </w:t>
      </w:r>
      <w:r>
        <w:rPr>
          <w:lang w:val="sv-SE"/>
        </w:rPr>
        <w:t>dengan derajat kepercayaan 95% mempunyai batas kemaknaan p value &lt; 0,05, jika P value &lt; 0,05, artinya ada hubungan yang bermakna antara kedua variabel tersebut, namun jika nilai P value &gt; 0,05, artinya tidak ada hubungan yang</w:t>
      </w:r>
      <w:r w:rsidR="00DD71F3">
        <w:rPr>
          <w:lang w:val="sv-SE"/>
        </w:rPr>
        <w:t xml:space="preserve"> bermakna antara kedua variabel </w:t>
      </w:r>
      <w:r>
        <w:rPr>
          <w:lang w:val="sv-SE"/>
        </w:rPr>
        <w:t>tersebut</w:t>
      </w:r>
      <w:r>
        <w:t>.</w:t>
      </w:r>
    </w:p>
    <w:p w:rsidR="00A21E10" w:rsidRDefault="00A21E10" w:rsidP="00BF18BA">
      <w:pPr>
        <w:tabs>
          <w:tab w:val="left" w:pos="600"/>
          <w:tab w:val="left" w:pos="1080"/>
          <w:tab w:val="left" w:pos="1680"/>
        </w:tabs>
        <w:jc w:val="both"/>
        <w:rPr>
          <w:b/>
          <w:lang w:val="id-ID"/>
        </w:rPr>
        <w:sectPr w:rsidR="00A21E10" w:rsidSect="00786ABB">
          <w:type w:val="continuous"/>
          <w:pgSz w:w="11907" w:h="16840" w:code="9"/>
          <w:pgMar w:top="1440" w:right="1440" w:bottom="1440" w:left="1440" w:header="720" w:footer="720" w:gutter="0"/>
          <w:pgBorders>
            <w:top w:val="none" w:sz="0" w:space="1" w:color="auto"/>
            <w:left w:val="none" w:sz="0" w:space="4" w:color="auto"/>
            <w:bottom w:val="none" w:sz="0" w:space="1" w:color="auto"/>
            <w:right w:val="none" w:sz="0" w:space="4" w:color="auto"/>
          </w:pgBorders>
          <w:cols w:num="2" w:space="720"/>
          <w:docGrid w:linePitch="360"/>
        </w:sectPr>
      </w:pPr>
    </w:p>
    <w:p w:rsidR="00A21E10" w:rsidRDefault="00A21E10" w:rsidP="00BF18BA">
      <w:pPr>
        <w:tabs>
          <w:tab w:val="left" w:pos="600"/>
          <w:tab w:val="left" w:pos="1080"/>
          <w:tab w:val="left" w:pos="1680"/>
        </w:tabs>
        <w:jc w:val="both"/>
        <w:rPr>
          <w:b/>
          <w:lang w:val="id-ID"/>
        </w:rPr>
      </w:pPr>
    </w:p>
    <w:p w:rsidR="00A21E10" w:rsidRPr="006852F0" w:rsidRDefault="00E92988" w:rsidP="006852F0">
      <w:pPr>
        <w:tabs>
          <w:tab w:val="left" w:pos="600"/>
          <w:tab w:val="left" w:pos="1080"/>
          <w:tab w:val="left" w:pos="1680"/>
        </w:tabs>
        <w:spacing w:after="240"/>
        <w:jc w:val="both"/>
        <w:rPr>
          <w:b/>
        </w:rPr>
      </w:pPr>
      <w:r>
        <w:rPr>
          <w:b/>
          <w:lang w:val="sv-SE"/>
        </w:rPr>
        <w:t>HASIL</w:t>
      </w:r>
    </w:p>
    <w:p w:rsidR="006852F0" w:rsidRDefault="00E92988" w:rsidP="006852F0">
      <w:pPr>
        <w:pStyle w:val="ListParagraph1"/>
        <w:tabs>
          <w:tab w:val="left" w:pos="284"/>
          <w:tab w:val="left" w:pos="1080"/>
          <w:tab w:val="left" w:pos="1680"/>
        </w:tabs>
        <w:spacing w:after="240"/>
        <w:ind w:left="0"/>
        <w:jc w:val="both"/>
        <w:rPr>
          <w:b/>
          <w:lang w:val="sv-SE"/>
        </w:rPr>
      </w:pPr>
      <w:r>
        <w:rPr>
          <w:b/>
          <w:lang w:val="sv-SE"/>
        </w:rPr>
        <w:t>Analisis Univariat</w:t>
      </w:r>
    </w:p>
    <w:p w:rsidR="006852F0" w:rsidRPr="006852F0" w:rsidRDefault="00E92988" w:rsidP="006852F0">
      <w:pPr>
        <w:ind w:left="993" w:hanging="993"/>
        <w:jc w:val="both"/>
        <w:rPr>
          <w:b/>
          <w:sz w:val="20"/>
          <w:szCs w:val="20"/>
        </w:rPr>
      </w:pPr>
      <w:proofErr w:type="gramStart"/>
      <w:r w:rsidRPr="006852F0">
        <w:rPr>
          <w:b/>
          <w:sz w:val="20"/>
          <w:szCs w:val="20"/>
        </w:rPr>
        <w:t>Tabel 1.</w:t>
      </w:r>
      <w:proofErr w:type="gramEnd"/>
      <w:r w:rsidRPr="006852F0">
        <w:rPr>
          <w:b/>
          <w:sz w:val="20"/>
          <w:szCs w:val="20"/>
        </w:rPr>
        <w:t xml:space="preserve"> </w:t>
      </w:r>
    </w:p>
    <w:p w:rsidR="00E92988" w:rsidRPr="006852F0" w:rsidRDefault="00E92988" w:rsidP="006852F0">
      <w:pPr>
        <w:spacing w:after="240"/>
        <w:jc w:val="both"/>
        <w:rPr>
          <w:b/>
          <w:sz w:val="20"/>
          <w:szCs w:val="20"/>
          <w:lang w:val="sv-SE"/>
        </w:rPr>
      </w:pPr>
      <w:r w:rsidRPr="006852F0">
        <w:rPr>
          <w:b/>
          <w:sz w:val="20"/>
          <w:szCs w:val="20"/>
          <w:lang w:val="sv-SE"/>
        </w:rPr>
        <w:t xml:space="preserve">Distribusi Frekuensi dan Presentasi </w:t>
      </w:r>
      <w:r w:rsidRPr="006852F0">
        <w:rPr>
          <w:b/>
          <w:sz w:val="20"/>
          <w:szCs w:val="20"/>
        </w:rPr>
        <w:t xml:space="preserve">Kejadian Hiperbilirubinemia </w:t>
      </w:r>
      <w:r w:rsidRPr="006852F0">
        <w:rPr>
          <w:b/>
          <w:sz w:val="20"/>
          <w:szCs w:val="20"/>
          <w:lang w:val="id-ID"/>
        </w:rPr>
        <w:t xml:space="preserve">dan Berat Badan Lahir Rendah </w:t>
      </w:r>
    </w:p>
    <w:tbl>
      <w:tblPr>
        <w:tblStyle w:val="TableGrid"/>
        <w:tblW w:w="7229"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93"/>
        <w:gridCol w:w="1701"/>
        <w:gridCol w:w="2835"/>
      </w:tblGrid>
      <w:tr w:rsidR="00E92988" w:rsidRPr="006852F0" w:rsidTr="006852F0">
        <w:tc>
          <w:tcPr>
            <w:tcW w:w="2693" w:type="dxa"/>
          </w:tcPr>
          <w:p w:rsidR="00E92988" w:rsidRPr="006852F0" w:rsidRDefault="00E92988" w:rsidP="00A21E10">
            <w:pPr>
              <w:jc w:val="center"/>
              <w:rPr>
                <w:b/>
                <w:sz w:val="20"/>
                <w:szCs w:val="20"/>
              </w:rPr>
            </w:pPr>
            <w:r w:rsidRPr="006852F0">
              <w:rPr>
                <w:b/>
                <w:sz w:val="20"/>
                <w:szCs w:val="20"/>
              </w:rPr>
              <w:t>Karakteristik</w:t>
            </w:r>
          </w:p>
        </w:tc>
        <w:tc>
          <w:tcPr>
            <w:tcW w:w="1701" w:type="dxa"/>
          </w:tcPr>
          <w:p w:rsidR="00E92988" w:rsidRPr="006852F0" w:rsidRDefault="00E92988" w:rsidP="00BF18BA">
            <w:pPr>
              <w:jc w:val="center"/>
              <w:rPr>
                <w:b/>
                <w:sz w:val="20"/>
                <w:szCs w:val="20"/>
              </w:rPr>
            </w:pPr>
            <w:r w:rsidRPr="006852F0">
              <w:rPr>
                <w:b/>
                <w:sz w:val="20"/>
                <w:szCs w:val="20"/>
              </w:rPr>
              <w:t>Frekuensi</w:t>
            </w:r>
          </w:p>
        </w:tc>
        <w:tc>
          <w:tcPr>
            <w:tcW w:w="2835" w:type="dxa"/>
          </w:tcPr>
          <w:p w:rsidR="00E92988" w:rsidRPr="006852F0" w:rsidRDefault="00E92988" w:rsidP="00BF18BA">
            <w:pPr>
              <w:jc w:val="center"/>
              <w:rPr>
                <w:b/>
                <w:sz w:val="20"/>
                <w:szCs w:val="20"/>
              </w:rPr>
            </w:pPr>
            <w:r w:rsidRPr="006852F0">
              <w:rPr>
                <w:b/>
                <w:sz w:val="20"/>
                <w:szCs w:val="20"/>
              </w:rPr>
              <w:t>Persentase (%)</w:t>
            </w:r>
          </w:p>
        </w:tc>
      </w:tr>
      <w:tr w:rsidR="00E92988" w:rsidRPr="006852F0" w:rsidTr="006852F0">
        <w:tc>
          <w:tcPr>
            <w:tcW w:w="2693" w:type="dxa"/>
            <w:vAlign w:val="center"/>
          </w:tcPr>
          <w:p w:rsidR="00E92988" w:rsidRPr="006852F0" w:rsidRDefault="00E92988" w:rsidP="00BF18BA">
            <w:pPr>
              <w:rPr>
                <w:b/>
                <w:sz w:val="20"/>
                <w:szCs w:val="20"/>
              </w:rPr>
            </w:pPr>
            <w:r w:rsidRPr="006852F0">
              <w:rPr>
                <w:sz w:val="20"/>
                <w:szCs w:val="20"/>
                <w:lang w:val="sv-SE"/>
              </w:rPr>
              <w:t>Hiperbilirubiniemia</w:t>
            </w:r>
          </w:p>
        </w:tc>
        <w:tc>
          <w:tcPr>
            <w:tcW w:w="1701" w:type="dxa"/>
            <w:vAlign w:val="center"/>
          </w:tcPr>
          <w:p w:rsidR="00E92988" w:rsidRPr="006852F0" w:rsidRDefault="00DD71F3" w:rsidP="00BF18BA">
            <w:pPr>
              <w:autoSpaceDE w:val="0"/>
              <w:autoSpaceDN w:val="0"/>
              <w:adjustRightInd w:val="0"/>
              <w:jc w:val="center"/>
              <w:rPr>
                <w:sz w:val="20"/>
                <w:szCs w:val="20"/>
              </w:rPr>
            </w:pPr>
            <w:r w:rsidRPr="006852F0">
              <w:rPr>
                <w:color w:val="000000"/>
                <w:sz w:val="20"/>
                <w:szCs w:val="20"/>
              </w:rPr>
              <w:t>86</w:t>
            </w:r>
          </w:p>
        </w:tc>
        <w:tc>
          <w:tcPr>
            <w:tcW w:w="2835" w:type="dxa"/>
            <w:vAlign w:val="center"/>
          </w:tcPr>
          <w:p w:rsidR="00E92988" w:rsidRPr="006852F0" w:rsidRDefault="00E92988" w:rsidP="00BF18BA">
            <w:pPr>
              <w:autoSpaceDE w:val="0"/>
              <w:autoSpaceDN w:val="0"/>
              <w:adjustRightInd w:val="0"/>
              <w:jc w:val="center"/>
              <w:rPr>
                <w:sz w:val="20"/>
                <w:szCs w:val="20"/>
              </w:rPr>
            </w:pPr>
            <w:r w:rsidRPr="006852F0">
              <w:rPr>
                <w:color w:val="000000"/>
                <w:sz w:val="20"/>
                <w:szCs w:val="20"/>
              </w:rPr>
              <w:t>27,</w:t>
            </w:r>
            <w:r w:rsidR="00DD71F3" w:rsidRPr="006852F0">
              <w:rPr>
                <w:color w:val="000000"/>
                <w:sz w:val="20"/>
                <w:szCs w:val="20"/>
              </w:rPr>
              <w:t>8</w:t>
            </w:r>
          </w:p>
        </w:tc>
      </w:tr>
      <w:tr w:rsidR="00E92988" w:rsidRPr="006852F0" w:rsidTr="006852F0">
        <w:tc>
          <w:tcPr>
            <w:tcW w:w="2693" w:type="dxa"/>
            <w:vAlign w:val="center"/>
          </w:tcPr>
          <w:p w:rsidR="00E92988" w:rsidRPr="006852F0" w:rsidRDefault="00E92988" w:rsidP="00BF18BA">
            <w:pPr>
              <w:rPr>
                <w:b/>
                <w:sz w:val="20"/>
                <w:szCs w:val="20"/>
              </w:rPr>
            </w:pPr>
            <w:r w:rsidRPr="006852F0">
              <w:rPr>
                <w:sz w:val="20"/>
                <w:szCs w:val="20"/>
                <w:lang w:val="sv-SE"/>
              </w:rPr>
              <w:t>Tidak Hiperbilirubinemia</w:t>
            </w:r>
          </w:p>
        </w:tc>
        <w:tc>
          <w:tcPr>
            <w:tcW w:w="1701" w:type="dxa"/>
            <w:vAlign w:val="center"/>
          </w:tcPr>
          <w:p w:rsidR="00E92988" w:rsidRPr="006852F0" w:rsidRDefault="00E92988" w:rsidP="00BF18BA">
            <w:pPr>
              <w:autoSpaceDE w:val="0"/>
              <w:autoSpaceDN w:val="0"/>
              <w:adjustRightInd w:val="0"/>
              <w:jc w:val="center"/>
              <w:rPr>
                <w:sz w:val="20"/>
                <w:szCs w:val="20"/>
              </w:rPr>
            </w:pPr>
            <w:r w:rsidRPr="006852F0">
              <w:rPr>
                <w:color w:val="000000"/>
                <w:sz w:val="20"/>
                <w:szCs w:val="20"/>
              </w:rPr>
              <w:t>147</w:t>
            </w:r>
          </w:p>
        </w:tc>
        <w:tc>
          <w:tcPr>
            <w:tcW w:w="2835" w:type="dxa"/>
            <w:vAlign w:val="center"/>
          </w:tcPr>
          <w:p w:rsidR="00E92988" w:rsidRPr="006852F0" w:rsidRDefault="00E92988" w:rsidP="00BF18BA">
            <w:pPr>
              <w:autoSpaceDE w:val="0"/>
              <w:autoSpaceDN w:val="0"/>
              <w:adjustRightInd w:val="0"/>
              <w:jc w:val="center"/>
              <w:rPr>
                <w:sz w:val="20"/>
                <w:szCs w:val="20"/>
              </w:rPr>
            </w:pPr>
            <w:r w:rsidRPr="006852F0">
              <w:rPr>
                <w:color w:val="000000"/>
                <w:sz w:val="20"/>
                <w:szCs w:val="20"/>
              </w:rPr>
              <w:t>72,</w:t>
            </w:r>
            <w:r w:rsidR="00DD71F3" w:rsidRPr="006852F0">
              <w:rPr>
                <w:color w:val="000000"/>
                <w:sz w:val="20"/>
                <w:szCs w:val="20"/>
              </w:rPr>
              <w:t>2</w:t>
            </w:r>
          </w:p>
        </w:tc>
      </w:tr>
      <w:tr w:rsidR="00E92988" w:rsidRPr="006852F0" w:rsidTr="006852F0">
        <w:tc>
          <w:tcPr>
            <w:tcW w:w="2693" w:type="dxa"/>
          </w:tcPr>
          <w:p w:rsidR="00E92988" w:rsidRPr="006852F0" w:rsidRDefault="00E92988" w:rsidP="00BF18BA">
            <w:pPr>
              <w:jc w:val="both"/>
              <w:rPr>
                <w:sz w:val="20"/>
                <w:szCs w:val="20"/>
                <w:lang w:val="sv-SE"/>
              </w:rPr>
            </w:pPr>
            <w:r w:rsidRPr="006852F0">
              <w:rPr>
                <w:sz w:val="20"/>
                <w:szCs w:val="20"/>
                <w:lang w:val="sv-SE"/>
              </w:rPr>
              <w:t>BBLR</w:t>
            </w:r>
          </w:p>
        </w:tc>
        <w:tc>
          <w:tcPr>
            <w:tcW w:w="1701" w:type="dxa"/>
            <w:vAlign w:val="center"/>
          </w:tcPr>
          <w:p w:rsidR="00E92988" w:rsidRPr="006852F0" w:rsidRDefault="00DD71F3" w:rsidP="00BF18BA">
            <w:pPr>
              <w:autoSpaceDE w:val="0"/>
              <w:autoSpaceDN w:val="0"/>
              <w:adjustRightInd w:val="0"/>
              <w:jc w:val="center"/>
              <w:rPr>
                <w:color w:val="000000"/>
                <w:sz w:val="20"/>
                <w:szCs w:val="20"/>
              </w:rPr>
            </w:pPr>
            <w:r w:rsidRPr="006852F0">
              <w:rPr>
                <w:color w:val="000000"/>
                <w:sz w:val="20"/>
                <w:szCs w:val="20"/>
              </w:rPr>
              <w:t>75</w:t>
            </w:r>
          </w:p>
        </w:tc>
        <w:tc>
          <w:tcPr>
            <w:tcW w:w="2835" w:type="dxa"/>
            <w:vAlign w:val="center"/>
          </w:tcPr>
          <w:p w:rsidR="00E92988" w:rsidRPr="006852F0" w:rsidRDefault="00E92988" w:rsidP="00BF18BA">
            <w:pPr>
              <w:autoSpaceDE w:val="0"/>
              <w:autoSpaceDN w:val="0"/>
              <w:adjustRightInd w:val="0"/>
              <w:jc w:val="center"/>
              <w:rPr>
                <w:color w:val="000000"/>
                <w:sz w:val="20"/>
                <w:szCs w:val="20"/>
              </w:rPr>
            </w:pPr>
            <w:r w:rsidRPr="006852F0">
              <w:rPr>
                <w:color w:val="000000"/>
                <w:sz w:val="20"/>
                <w:szCs w:val="20"/>
              </w:rPr>
              <w:t>24</w:t>
            </w:r>
          </w:p>
        </w:tc>
      </w:tr>
      <w:tr w:rsidR="00E92988" w:rsidRPr="006852F0" w:rsidTr="006852F0">
        <w:tc>
          <w:tcPr>
            <w:tcW w:w="2693" w:type="dxa"/>
          </w:tcPr>
          <w:p w:rsidR="00E92988" w:rsidRPr="006852F0" w:rsidRDefault="00E92988" w:rsidP="00BF18BA">
            <w:pPr>
              <w:jc w:val="both"/>
              <w:rPr>
                <w:sz w:val="20"/>
                <w:szCs w:val="20"/>
                <w:lang w:val="sv-SE"/>
              </w:rPr>
            </w:pPr>
            <w:r w:rsidRPr="006852F0">
              <w:rPr>
                <w:sz w:val="20"/>
                <w:szCs w:val="20"/>
                <w:lang w:val="sv-SE"/>
              </w:rPr>
              <w:t>Tidak BBLR</w:t>
            </w:r>
          </w:p>
        </w:tc>
        <w:tc>
          <w:tcPr>
            <w:tcW w:w="1701" w:type="dxa"/>
            <w:vAlign w:val="center"/>
          </w:tcPr>
          <w:p w:rsidR="00E92988" w:rsidRPr="006852F0" w:rsidRDefault="00E92988" w:rsidP="00BF18BA">
            <w:pPr>
              <w:autoSpaceDE w:val="0"/>
              <w:autoSpaceDN w:val="0"/>
              <w:adjustRightInd w:val="0"/>
              <w:jc w:val="center"/>
              <w:rPr>
                <w:color w:val="000000"/>
                <w:sz w:val="20"/>
                <w:szCs w:val="20"/>
              </w:rPr>
            </w:pPr>
            <w:r w:rsidRPr="006852F0">
              <w:rPr>
                <w:color w:val="000000"/>
                <w:sz w:val="20"/>
                <w:szCs w:val="20"/>
              </w:rPr>
              <w:t>153</w:t>
            </w:r>
          </w:p>
        </w:tc>
        <w:tc>
          <w:tcPr>
            <w:tcW w:w="2835" w:type="dxa"/>
            <w:vAlign w:val="center"/>
          </w:tcPr>
          <w:p w:rsidR="00E92988" w:rsidRPr="006852F0" w:rsidRDefault="00E92988" w:rsidP="00BF18BA">
            <w:pPr>
              <w:autoSpaceDE w:val="0"/>
              <w:autoSpaceDN w:val="0"/>
              <w:adjustRightInd w:val="0"/>
              <w:jc w:val="center"/>
              <w:rPr>
                <w:color w:val="000000"/>
                <w:sz w:val="20"/>
                <w:szCs w:val="20"/>
              </w:rPr>
            </w:pPr>
            <w:r w:rsidRPr="006852F0">
              <w:rPr>
                <w:color w:val="000000"/>
                <w:sz w:val="20"/>
                <w:szCs w:val="20"/>
              </w:rPr>
              <w:t>7</w:t>
            </w:r>
            <w:r w:rsidR="00DD71F3" w:rsidRPr="006852F0">
              <w:rPr>
                <w:color w:val="000000"/>
                <w:sz w:val="20"/>
                <w:szCs w:val="20"/>
              </w:rPr>
              <w:t>6</w:t>
            </w:r>
          </w:p>
        </w:tc>
      </w:tr>
      <w:tr w:rsidR="00A21E10" w:rsidRPr="006852F0" w:rsidTr="006852F0">
        <w:tc>
          <w:tcPr>
            <w:tcW w:w="2693" w:type="dxa"/>
          </w:tcPr>
          <w:p w:rsidR="00A21E10" w:rsidRPr="006852F0" w:rsidRDefault="00A21E10" w:rsidP="00BF18BA">
            <w:pPr>
              <w:jc w:val="both"/>
              <w:rPr>
                <w:sz w:val="20"/>
                <w:szCs w:val="20"/>
                <w:lang w:val="sv-SE"/>
              </w:rPr>
            </w:pPr>
          </w:p>
        </w:tc>
        <w:tc>
          <w:tcPr>
            <w:tcW w:w="1701" w:type="dxa"/>
            <w:vAlign w:val="center"/>
          </w:tcPr>
          <w:p w:rsidR="00A21E10" w:rsidRPr="006852F0" w:rsidRDefault="00A21E10" w:rsidP="00BF18BA">
            <w:pPr>
              <w:autoSpaceDE w:val="0"/>
              <w:autoSpaceDN w:val="0"/>
              <w:adjustRightInd w:val="0"/>
              <w:jc w:val="center"/>
              <w:rPr>
                <w:color w:val="000000"/>
                <w:sz w:val="20"/>
                <w:szCs w:val="20"/>
              </w:rPr>
            </w:pPr>
          </w:p>
        </w:tc>
        <w:tc>
          <w:tcPr>
            <w:tcW w:w="2835" w:type="dxa"/>
            <w:vAlign w:val="center"/>
          </w:tcPr>
          <w:p w:rsidR="00A21E10" w:rsidRPr="006852F0" w:rsidRDefault="00A21E10" w:rsidP="00BF18BA">
            <w:pPr>
              <w:autoSpaceDE w:val="0"/>
              <w:autoSpaceDN w:val="0"/>
              <w:adjustRightInd w:val="0"/>
              <w:jc w:val="center"/>
              <w:rPr>
                <w:color w:val="000000"/>
                <w:sz w:val="20"/>
                <w:szCs w:val="20"/>
              </w:rPr>
            </w:pPr>
          </w:p>
        </w:tc>
      </w:tr>
    </w:tbl>
    <w:p w:rsidR="00E92988" w:rsidRDefault="00E92988" w:rsidP="00BF18BA">
      <w:pPr>
        <w:jc w:val="both"/>
        <w:sectPr w:rsidR="00E92988" w:rsidSect="00786ABB">
          <w:type w:val="continuous"/>
          <w:pgSz w:w="11907" w:h="16840" w:code="9"/>
          <w:pgMar w:top="1440" w:right="1440" w:bottom="1440" w:left="1440" w:header="720" w:footer="720" w:gutter="0"/>
          <w:pgBorders>
            <w:top w:val="none" w:sz="0" w:space="1" w:color="auto"/>
            <w:left w:val="none" w:sz="0" w:space="4" w:color="auto"/>
            <w:bottom w:val="none" w:sz="0" w:space="1" w:color="auto"/>
            <w:right w:val="none" w:sz="0" w:space="4" w:color="auto"/>
          </w:pgBorders>
          <w:cols w:space="720"/>
          <w:docGrid w:linePitch="360"/>
        </w:sectPr>
      </w:pPr>
    </w:p>
    <w:p w:rsidR="00E92988" w:rsidRDefault="00E92988" w:rsidP="006852F0">
      <w:pPr>
        <w:jc w:val="both"/>
        <w:rPr>
          <w:lang w:val="sv-SE"/>
        </w:rPr>
      </w:pPr>
      <w:r>
        <w:rPr>
          <w:lang w:val="sv-SE"/>
        </w:rPr>
        <w:lastRenderedPageBreak/>
        <w:t xml:space="preserve">Berdasarkan </w:t>
      </w:r>
      <w:r w:rsidR="006852F0">
        <w:rPr>
          <w:b/>
          <w:lang w:val="sv-SE"/>
        </w:rPr>
        <w:t>T</w:t>
      </w:r>
      <w:r w:rsidRPr="006852F0">
        <w:rPr>
          <w:b/>
          <w:lang w:val="sv-SE"/>
        </w:rPr>
        <w:t>abel 1</w:t>
      </w:r>
      <w:r w:rsidR="00A21E10" w:rsidRPr="006852F0">
        <w:rPr>
          <w:b/>
          <w:lang w:val="id-ID"/>
        </w:rPr>
        <w:t>.</w:t>
      </w:r>
      <w:r>
        <w:rPr>
          <w:lang w:val="sv-SE"/>
        </w:rPr>
        <w:t xml:space="preserve"> diketahui bahwa distribusi frekuensi responden yang mengalami </w:t>
      </w:r>
      <w:r>
        <w:t>hiperbilirubinemia</w:t>
      </w:r>
      <w:r w:rsidR="00DD71F3">
        <w:rPr>
          <w:lang w:val="sv-SE"/>
        </w:rPr>
        <w:t xml:space="preserve"> sebesar 86 responden (27,8</w:t>
      </w:r>
      <w:r>
        <w:rPr>
          <w:lang w:val="sv-SE"/>
        </w:rPr>
        <w:t xml:space="preserve">%), sedangkan distribusi frekuensi responden yang tidak mengalami </w:t>
      </w:r>
      <w:r>
        <w:t>hiperbilirubinemia</w:t>
      </w:r>
      <w:r>
        <w:rPr>
          <w:lang w:val="sv-SE"/>
        </w:rPr>
        <w:t xml:space="preserve"> sebanyak  147 </w:t>
      </w:r>
      <w:r>
        <w:rPr>
          <w:lang w:val="sv-SE"/>
        </w:rPr>
        <w:lastRenderedPageBreak/>
        <w:t xml:space="preserve">responden (72,4%). </w:t>
      </w:r>
      <w:r>
        <w:rPr>
          <w:lang w:val="id-ID"/>
        </w:rPr>
        <w:t>D</w:t>
      </w:r>
      <w:r>
        <w:rPr>
          <w:lang w:val="sv-SE"/>
        </w:rPr>
        <w:t>istribusi frekuens</w:t>
      </w:r>
      <w:r w:rsidR="00DD71F3">
        <w:rPr>
          <w:lang w:val="sv-SE"/>
        </w:rPr>
        <w:t>i responden yang BBLR sebesar 75 responden (24</w:t>
      </w:r>
      <w:r>
        <w:rPr>
          <w:lang w:val="sv-SE"/>
        </w:rPr>
        <w:t xml:space="preserve">%), sedangkan distribusi frekuensi responden tidak </w:t>
      </w:r>
      <w:r w:rsidR="00DD71F3">
        <w:rPr>
          <w:lang w:val="sv-SE"/>
        </w:rPr>
        <w:t>BBLR sebesar 153 responden (76</w:t>
      </w:r>
      <w:r>
        <w:rPr>
          <w:lang w:val="sv-SE"/>
        </w:rPr>
        <w:t>%).</w:t>
      </w:r>
    </w:p>
    <w:p w:rsidR="00DD71F3" w:rsidRDefault="00DD71F3" w:rsidP="00BF18BA">
      <w:pPr>
        <w:pStyle w:val="ListParagraph1"/>
        <w:tabs>
          <w:tab w:val="left" w:pos="540"/>
          <w:tab w:val="left" w:pos="1080"/>
          <w:tab w:val="left" w:pos="1620"/>
          <w:tab w:val="left" w:pos="2160"/>
        </w:tabs>
        <w:ind w:left="0"/>
        <w:jc w:val="both"/>
        <w:rPr>
          <w:b/>
        </w:rPr>
        <w:sectPr w:rsidR="00DD71F3" w:rsidSect="00786ABB">
          <w:type w:val="continuous"/>
          <w:pgSz w:w="11907" w:h="16840" w:code="9"/>
          <w:pgMar w:top="1440" w:right="1440" w:bottom="1440" w:left="1440" w:header="720" w:footer="720" w:gutter="0"/>
          <w:pgBorders>
            <w:top w:val="none" w:sz="0" w:space="1" w:color="auto"/>
            <w:left w:val="none" w:sz="0" w:space="4" w:color="auto"/>
            <w:bottom w:val="none" w:sz="0" w:space="1" w:color="auto"/>
            <w:right w:val="none" w:sz="0" w:space="4" w:color="auto"/>
          </w:pgBorders>
          <w:cols w:num="2" w:space="720"/>
          <w:docGrid w:linePitch="360"/>
        </w:sectPr>
      </w:pPr>
    </w:p>
    <w:p w:rsidR="00E92988" w:rsidRDefault="00E92988" w:rsidP="0023619B">
      <w:pPr>
        <w:pStyle w:val="ListParagraph1"/>
        <w:tabs>
          <w:tab w:val="left" w:pos="540"/>
          <w:tab w:val="left" w:pos="1080"/>
          <w:tab w:val="left" w:pos="1620"/>
          <w:tab w:val="left" w:pos="2160"/>
        </w:tabs>
        <w:ind w:left="0"/>
        <w:jc w:val="both"/>
        <w:rPr>
          <w:b/>
        </w:rPr>
      </w:pPr>
      <w:r>
        <w:rPr>
          <w:b/>
        </w:rPr>
        <w:lastRenderedPageBreak/>
        <w:t>Analisa Bivariat</w:t>
      </w:r>
    </w:p>
    <w:p w:rsidR="00E92988" w:rsidRPr="0023619B" w:rsidRDefault="00E92988" w:rsidP="00BF18BA">
      <w:pPr>
        <w:tabs>
          <w:tab w:val="left" w:pos="540"/>
          <w:tab w:val="left" w:pos="1080"/>
          <w:tab w:val="left" w:pos="1620"/>
          <w:tab w:val="left" w:pos="2160"/>
        </w:tabs>
        <w:jc w:val="center"/>
        <w:rPr>
          <w:b/>
          <w:sz w:val="20"/>
          <w:szCs w:val="20"/>
        </w:rPr>
      </w:pPr>
    </w:p>
    <w:p w:rsidR="0023619B" w:rsidRPr="0023619B" w:rsidRDefault="00E92988" w:rsidP="00BF18BA">
      <w:pPr>
        <w:rPr>
          <w:b/>
          <w:sz w:val="20"/>
          <w:szCs w:val="20"/>
        </w:rPr>
      </w:pPr>
      <w:proofErr w:type="gramStart"/>
      <w:r w:rsidRPr="0023619B">
        <w:rPr>
          <w:b/>
          <w:sz w:val="20"/>
          <w:szCs w:val="20"/>
        </w:rPr>
        <w:t>Tabel 2.</w:t>
      </w:r>
      <w:proofErr w:type="gramEnd"/>
      <w:r w:rsidRPr="0023619B">
        <w:rPr>
          <w:b/>
          <w:sz w:val="20"/>
          <w:szCs w:val="20"/>
        </w:rPr>
        <w:t xml:space="preserve"> </w:t>
      </w:r>
    </w:p>
    <w:p w:rsidR="00E92988" w:rsidRPr="0023619B" w:rsidRDefault="00E92988" w:rsidP="00BF18BA">
      <w:pPr>
        <w:rPr>
          <w:b/>
          <w:sz w:val="20"/>
          <w:szCs w:val="20"/>
        </w:rPr>
      </w:pPr>
      <w:r w:rsidRPr="0023619B">
        <w:rPr>
          <w:b/>
          <w:sz w:val="20"/>
          <w:szCs w:val="20"/>
        </w:rPr>
        <w:t>Hubungan</w:t>
      </w:r>
      <w:r w:rsidRPr="0023619B">
        <w:rPr>
          <w:b/>
          <w:sz w:val="20"/>
          <w:szCs w:val="20"/>
          <w:lang w:val="id-ID"/>
        </w:rPr>
        <w:t>Berat Badan Lahir Rendah Dengan Kejadian Hiperbilirubinemia</w:t>
      </w:r>
    </w:p>
    <w:p w:rsidR="00E92988" w:rsidRDefault="00E92988" w:rsidP="00BF18BA">
      <w:pPr>
        <w:tabs>
          <w:tab w:val="left" w:pos="540"/>
          <w:tab w:val="left" w:pos="1080"/>
          <w:tab w:val="left" w:pos="1620"/>
          <w:tab w:val="left" w:pos="2160"/>
        </w:tabs>
        <w:jc w:val="center"/>
        <w:rPr>
          <w:b/>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996"/>
        <w:gridCol w:w="1239"/>
        <w:gridCol w:w="1185"/>
        <w:gridCol w:w="1065"/>
        <w:gridCol w:w="782"/>
        <w:gridCol w:w="630"/>
        <w:gridCol w:w="1194"/>
      </w:tblGrid>
      <w:tr w:rsidR="00E92988" w:rsidRPr="0023619B" w:rsidTr="00A21E10">
        <w:tc>
          <w:tcPr>
            <w:tcW w:w="2123" w:type="dxa"/>
            <w:vMerge w:val="restart"/>
            <w:tcBorders>
              <w:left w:val="nil"/>
              <w:right w:val="nil"/>
            </w:tcBorders>
            <w:vAlign w:val="center"/>
          </w:tcPr>
          <w:p w:rsidR="00E92988" w:rsidRPr="0023619B" w:rsidRDefault="00E92988" w:rsidP="0023619B">
            <w:pPr>
              <w:rPr>
                <w:b/>
                <w:sz w:val="20"/>
                <w:szCs w:val="20"/>
                <w:lang w:val="sv-SE"/>
              </w:rPr>
            </w:pPr>
            <w:r w:rsidRPr="0023619B">
              <w:rPr>
                <w:b/>
                <w:sz w:val="20"/>
                <w:szCs w:val="20"/>
                <w:lang w:val="sv-SE"/>
              </w:rPr>
              <w:t>Karakteristik</w:t>
            </w:r>
          </w:p>
        </w:tc>
        <w:tc>
          <w:tcPr>
            <w:tcW w:w="4485" w:type="dxa"/>
            <w:gridSpan w:val="4"/>
            <w:tcBorders>
              <w:left w:val="nil"/>
              <w:right w:val="nil"/>
            </w:tcBorders>
          </w:tcPr>
          <w:p w:rsidR="00E92988" w:rsidRPr="0023619B" w:rsidRDefault="00E92988" w:rsidP="0023619B">
            <w:pPr>
              <w:tabs>
                <w:tab w:val="left" w:pos="570"/>
              </w:tabs>
              <w:jc w:val="center"/>
              <w:rPr>
                <w:b/>
                <w:sz w:val="20"/>
                <w:szCs w:val="20"/>
                <w:lang w:val="id-ID"/>
              </w:rPr>
            </w:pPr>
            <w:r w:rsidRPr="0023619B">
              <w:rPr>
                <w:b/>
                <w:sz w:val="20"/>
                <w:szCs w:val="20"/>
                <w:lang w:val="id-ID"/>
              </w:rPr>
              <w:t>Kejadian Hiperbilirubinnemia</w:t>
            </w:r>
          </w:p>
        </w:tc>
        <w:tc>
          <w:tcPr>
            <w:tcW w:w="782" w:type="dxa"/>
            <w:vMerge w:val="restart"/>
            <w:tcBorders>
              <w:left w:val="nil"/>
              <w:right w:val="nil"/>
            </w:tcBorders>
            <w:vAlign w:val="center"/>
          </w:tcPr>
          <w:p w:rsidR="00E92988" w:rsidRPr="0023619B" w:rsidRDefault="00E92988" w:rsidP="0023619B">
            <w:pPr>
              <w:jc w:val="center"/>
              <w:rPr>
                <w:b/>
                <w:sz w:val="20"/>
                <w:szCs w:val="20"/>
                <w:lang w:val="sv-SE"/>
              </w:rPr>
            </w:pPr>
            <w:r w:rsidRPr="0023619B">
              <w:rPr>
                <w:b/>
                <w:sz w:val="20"/>
                <w:szCs w:val="20"/>
                <w:lang w:val="sv-SE"/>
              </w:rPr>
              <w:sym w:font="Symbol" w:char="F053"/>
            </w:r>
          </w:p>
        </w:tc>
        <w:tc>
          <w:tcPr>
            <w:tcW w:w="630" w:type="dxa"/>
            <w:vMerge w:val="restart"/>
            <w:tcBorders>
              <w:left w:val="nil"/>
              <w:right w:val="nil"/>
            </w:tcBorders>
            <w:vAlign w:val="center"/>
          </w:tcPr>
          <w:p w:rsidR="00E92988" w:rsidRPr="0023619B" w:rsidRDefault="00E92988" w:rsidP="0023619B">
            <w:pPr>
              <w:jc w:val="center"/>
              <w:rPr>
                <w:b/>
                <w:sz w:val="20"/>
                <w:szCs w:val="20"/>
                <w:lang w:val="sv-SE"/>
              </w:rPr>
            </w:pPr>
            <w:r w:rsidRPr="0023619B">
              <w:rPr>
                <w:b/>
                <w:sz w:val="20"/>
                <w:szCs w:val="20"/>
                <w:lang w:val="sv-SE"/>
              </w:rPr>
              <w:t>%</w:t>
            </w:r>
          </w:p>
        </w:tc>
        <w:tc>
          <w:tcPr>
            <w:tcW w:w="1194" w:type="dxa"/>
            <w:vMerge w:val="restart"/>
            <w:tcBorders>
              <w:left w:val="nil"/>
              <w:right w:val="nil"/>
            </w:tcBorders>
            <w:vAlign w:val="center"/>
          </w:tcPr>
          <w:p w:rsidR="00E92988" w:rsidRPr="0023619B" w:rsidRDefault="00CA700D" w:rsidP="0023619B">
            <w:pPr>
              <w:jc w:val="center"/>
              <w:rPr>
                <w:b/>
                <w:sz w:val="20"/>
                <w:szCs w:val="20"/>
                <w:lang w:val="sv-SE"/>
              </w:rPr>
            </w:pPr>
            <w:r w:rsidRPr="0023619B">
              <w:rPr>
                <w:b/>
                <w:i/>
                <w:sz w:val="20"/>
                <w:szCs w:val="20"/>
                <w:lang w:val="sv-SE"/>
              </w:rPr>
              <w:t>P</w:t>
            </w:r>
            <w:r w:rsidRPr="0023619B">
              <w:rPr>
                <w:b/>
                <w:i/>
                <w:sz w:val="20"/>
                <w:szCs w:val="20"/>
                <w:lang w:val="id-ID"/>
              </w:rPr>
              <w:t xml:space="preserve"> Value</w:t>
            </w:r>
          </w:p>
        </w:tc>
      </w:tr>
      <w:tr w:rsidR="00E92988" w:rsidRPr="0023619B" w:rsidTr="00A21E10">
        <w:tc>
          <w:tcPr>
            <w:tcW w:w="2123" w:type="dxa"/>
            <w:vMerge/>
            <w:tcBorders>
              <w:left w:val="nil"/>
              <w:right w:val="nil"/>
            </w:tcBorders>
          </w:tcPr>
          <w:p w:rsidR="00E92988" w:rsidRPr="0023619B" w:rsidRDefault="00E92988" w:rsidP="0023619B">
            <w:pPr>
              <w:jc w:val="center"/>
              <w:rPr>
                <w:b/>
                <w:sz w:val="20"/>
                <w:szCs w:val="20"/>
                <w:lang w:val="sv-SE"/>
              </w:rPr>
            </w:pPr>
          </w:p>
        </w:tc>
        <w:tc>
          <w:tcPr>
            <w:tcW w:w="2235" w:type="dxa"/>
            <w:gridSpan w:val="2"/>
            <w:tcBorders>
              <w:left w:val="nil"/>
              <w:right w:val="nil"/>
            </w:tcBorders>
          </w:tcPr>
          <w:p w:rsidR="00E92988" w:rsidRPr="0023619B" w:rsidRDefault="00E92988" w:rsidP="0023619B">
            <w:pPr>
              <w:jc w:val="center"/>
              <w:rPr>
                <w:b/>
                <w:sz w:val="20"/>
                <w:szCs w:val="20"/>
                <w:lang w:val="id-ID"/>
              </w:rPr>
            </w:pPr>
            <w:r w:rsidRPr="0023619B">
              <w:rPr>
                <w:b/>
                <w:sz w:val="20"/>
                <w:szCs w:val="20"/>
                <w:lang w:val="id-ID"/>
              </w:rPr>
              <w:t>Hiperbilirubinemia</w:t>
            </w:r>
          </w:p>
        </w:tc>
        <w:tc>
          <w:tcPr>
            <w:tcW w:w="2250" w:type="dxa"/>
            <w:gridSpan w:val="2"/>
            <w:tcBorders>
              <w:left w:val="nil"/>
              <w:right w:val="nil"/>
            </w:tcBorders>
          </w:tcPr>
          <w:p w:rsidR="00E92988" w:rsidRPr="0023619B" w:rsidRDefault="00E92988" w:rsidP="0023619B">
            <w:pPr>
              <w:jc w:val="center"/>
              <w:rPr>
                <w:b/>
                <w:sz w:val="20"/>
                <w:szCs w:val="20"/>
                <w:lang w:val="id-ID"/>
              </w:rPr>
            </w:pPr>
            <w:r w:rsidRPr="0023619B">
              <w:rPr>
                <w:b/>
                <w:sz w:val="20"/>
                <w:szCs w:val="20"/>
                <w:lang w:val="id-ID"/>
              </w:rPr>
              <w:t>Tidak Hiperbilirubinemia</w:t>
            </w:r>
          </w:p>
        </w:tc>
        <w:tc>
          <w:tcPr>
            <w:tcW w:w="782" w:type="dxa"/>
            <w:vMerge/>
            <w:tcBorders>
              <w:left w:val="nil"/>
              <w:right w:val="nil"/>
            </w:tcBorders>
          </w:tcPr>
          <w:p w:rsidR="00E92988" w:rsidRPr="0023619B" w:rsidRDefault="00E92988" w:rsidP="0023619B">
            <w:pPr>
              <w:jc w:val="center"/>
              <w:rPr>
                <w:sz w:val="20"/>
                <w:szCs w:val="20"/>
                <w:lang w:val="sv-SE"/>
              </w:rPr>
            </w:pPr>
          </w:p>
        </w:tc>
        <w:tc>
          <w:tcPr>
            <w:tcW w:w="630" w:type="dxa"/>
            <w:vMerge/>
            <w:tcBorders>
              <w:left w:val="nil"/>
              <w:right w:val="nil"/>
            </w:tcBorders>
          </w:tcPr>
          <w:p w:rsidR="00E92988" w:rsidRPr="0023619B" w:rsidRDefault="00E92988" w:rsidP="0023619B">
            <w:pPr>
              <w:jc w:val="center"/>
              <w:rPr>
                <w:sz w:val="20"/>
                <w:szCs w:val="20"/>
                <w:lang w:val="sv-SE"/>
              </w:rPr>
            </w:pPr>
          </w:p>
        </w:tc>
        <w:tc>
          <w:tcPr>
            <w:tcW w:w="1194" w:type="dxa"/>
            <w:vMerge/>
            <w:tcBorders>
              <w:left w:val="nil"/>
              <w:right w:val="nil"/>
            </w:tcBorders>
          </w:tcPr>
          <w:p w:rsidR="00E92988" w:rsidRPr="0023619B" w:rsidRDefault="00E92988" w:rsidP="0023619B">
            <w:pPr>
              <w:jc w:val="center"/>
              <w:rPr>
                <w:sz w:val="20"/>
                <w:szCs w:val="20"/>
                <w:lang w:val="sv-SE"/>
              </w:rPr>
            </w:pPr>
          </w:p>
        </w:tc>
      </w:tr>
      <w:tr w:rsidR="00E92988" w:rsidRPr="0023619B" w:rsidTr="00CA700D">
        <w:tc>
          <w:tcPr>
            <w:tcW w:w="2123" w:type="dxa"/>
            <w:vMerge/>
            <w:tcBorders>
              <w:left w:val="nil"/>
              <w:bottom w:val="single" w:sz="4" w:space="0" w:color="auto"/>
              <w:right w:val="nil"/>
            </w:tcBorders>
          </w:tcPr>
          <w:p w:rsidR="00E92988" w:rsidRPr="0023619B" w:rsidRDefault="00E92988" w:rsidP="0023619B">
            <w:pPr>
              <w:jc w:val="center"/>
              <w:rPr>
                <w:b/>
                <w:sz w:val="20"/>
                <w:szCs w:val="20"/>
                <w:lang w:val="sv-SE"/>
              </w:rPr>
            </w:pPr>
          </w:p>
        </w:tc>
        <w:tc>
          <w:tcPr>
            <w:tcW w:w="996" w:type="dxa"/>
            <w:tcBorders>
              <w:left w:val="nil"/>
              <w:bottom w:val="single" w:sz="4" w:space="0" w:color="auto"/>
              <w:right w:val="nil"/>
            </w:tcBorders>
          </w:tcPr>
          <w:p w:rsidR="00E92988" w:rsidRPr="0023619B" w:rsidRDefault="00E92988" w:rsidP="0023619B">
            <w:pPr>
              <w:jc w:val="center"/>
              <w:rPr>
                <w:b/>
                <w:sz w:val="20"/>
                <w:szCs w:val="20"/>
                <w:lang w:val="sv-SE"/>
              </w:rPr>
            </w:pPr>
            <w:r w:rsidRPr="0023619B">
              <w:rPr>
                <w:b/>
                <w:sz w:val="20"/>
                <w:szCs w:val="20"/>
                <w:lang w:val="sv-SE"/>
              </w:rPr>
              <w:t>N</w:t>
            </w:r>
          </w:p>
        </w:tc>
        <w:tc>
          <w:tcPr>
            <w:tcW w:w="1239" w:type="dxa"/>
            <w:tcBorders>
              <w:left w:val="nil"/>
              <w:bottom w:val="single" w:sz="4" w:space="0" w:color="auto"/>
              <w:right w:val="nil"/>
            </w:tcBorders>
          </w:tcPr>
          <w:p w:rsidR="00E92988" w:rsidRPr="0023619B" w:rsidRDefault="00E92988" w:rsidP="0023619B">
            <w:pPr>
              <w:jc w:val="center"/>
              <w:rPr>
                <w:b/>
                <w:sz w:val="20"/>
                <w:szCs w:val="20"/>
                <w:lang w:val="sv-SE"/>
              </w:rPr>
            </w:pPr>
            <w:r w:rsidRPr="0023619B">
              <w:rPr>
                <w:b/>
                <w:sz w:val="20"/>
                <w:szCs w:val="20"/>
                <w:lang w:val="sv-SE"/>
              </w:rPr>
              <w:t>%</w:t>
            </w:r>
          </w:p>
        </w:tc>
        <w:tc>
          <w:tcPr>
            <w:tcW w:w="1185" w:type="dxa"/>
            <w:tcBorders>
              <w:left w:val="nil"/>
              <w:bottom w:val="single" w:sz="4" w:space="0" w:color="auto"/>
              <w:right w:val="nil"/>
            </w:tcBorders>
          </w:tcPr>
          <w:p w:rsidR="00E92988" w:rsidRPr="0023619B" w:rsidRDefault="00E92988" w:rsidP="0023619B">
            <w:pPr>
              <w:jc w:val="center"/>
              <w:rPr>
                <w:b/>
                <w:sz w:val="20"/>
                <w:szCs w:val="20"/>
                <w:lang w:val="sv-SE"/>
              </w:rPr>
            </w:pPr>
            <w:r w:rsidRPr="0023619B">
              <w:rPr>
                <w:b/>
                <w:sz w:val="20"/>
                <w:szCs w:val="20"/>
                <w:lang w:val="sv-SE"/>
              </w:rPr>
              <w:t>N</w:t>
            </w:r>
          </w:p>
        </w:tc>
        <w:tc>
          <w:tcPr>
            <w:tcW w:w="1065" w:type="dxa"/>
            <w:tcBorders>
              <w:left w:val="nil"/>
              <w:bottom w:val="single" w:sz="4" w:space="0" w:color="auto"/>
              <w:right w:val="nil"/>
            </w:tcBorders>
          </w:tcPr>
          <w:p w:rsidR="00E92988" w:rsidRPr="0023619B" w:rsidRDefault="00E92988" w:rsidP="0023619B">
            <w:pPr>
              <w:jc w:val="center"/>
              <w:rPr>
                <w:b/>
                <w:sz w:val="20"/>
                <w:szCs w:val="20"/>
                <w:lang w:val="sv-SE"/>
              </w:rPr>
            </w:pPr>
            <w:r w:rsidRPr="0023619B">
              <w:rPr>
                <w:b/>
                <w:sz w:val="20"/>
                <w:szCs w:val="20"/>
                <w:lang w:val="sv-SE"/>
              </w:rPr>
              <w:t>%</w:t>
            </w:r>
          </w:p>
        </w:tc>
        <w:tc>
          <w:tcPr>
            <w:tcW w:w="782" w:type="dxa"/>
            <w:vMerge/>
            <w:tcBorders>
              <w:left w:val="nil"/>
              <w:bottom w:val="single" w:sz="4" w:space="0" w:color="auto"/>
              <w:right w:val="nil"/>
            </w:tcBorders>
          </w:tcPr>
          <w:p w:rsidR="00E92988" w:rsidRPr="0023619B" w:rsidRDefault="00E92988" w:rsidP="0023619B">
            <w:pPr>
              <w:jc w:val="center"/>
              <w:rPr>
                <w:sz w:val="20"/>
                <w:szCs w:val="20"/>
                <w:lang w:val="sv-SE"/>
              </w:rPr>
            </w:pPr>
          </w:p>
        </w:tc>
        <w:tc>
          <w:tcPr>
            <w:tcW w:w="630" w:type="dxa"/>
            <w:vMerge/>
            <w:tcBorders>
              <w:left w:val="nil"/>
              <w:bottom w:val="single" w:sz="4" w:space="0" w:color="auto"/>
              <w:right w:val="nil"/>
            </w:tcBorders>
          </w:tcPr>
          <w:p w:rsidR="00E92988" w:rsidRPr="0023619B" w:rsidRDefault="00E92988" w:rsidP="0023619B">
            <w:pPr>
              <w:jc w:val="center"/>
              <w:rPr>
                <w:sz w:val="20"/>
                <w:szCs w:val="20"/>
                <w:lang w:val="sv-SE"/>
              </w:rPr>
            </w:pPr>
          </w:p>
        </w:tc>
        <w:tc>
          <w:tcPr>
            <w:tcW w:w="1194" w:type="dxa"/>
            <w:vMerge/>
            <w:tcBorders>
              <w:left w:val="nil"/>
              <w:right w:val="nil"/>
            </w:tcBorders>
          </w:tcPr>
          <w:p w:rsidR="00E92988" w:rsidRPr="0023619B" w:rsidRDefault="00E92988" w:rsidP="0023619B">
            <w:pPr>
              <w:jc w:val="center"/>
              <w:rPr>
                <w:sz w:val="20"/>
                <w:szCs w:val="20"/>
                <w:lang w:val="sv-SE"/>
              </w:rPr>
            </w:pPr>
          </w:p>
        </w:tc>
      </w:tr>
      <w:tr w:rsidR="00E92988" w:rsidRPr="0023619B" w:rsidTr="00CA700D">
        <w:tc>
          <w:tcPr>
            <w:tcW w:w="2123" w:type="dxa"/>
            <w:tcBorders>
              <w:left w:val="nil"/>
              <w:bottom w:val="nil"/>
              <w:right w:val="nil"/>
            </w:tcBorders>
          </w:tcPr>
          <w:p w:rsidR="00E92988" w:rsidRPr="0023619B" w:rsidRDefault="00E92988" w:rsidP="0023619B">
            <w:pPr>
              <w:pStyle w:val="ListParagraph1"/>
              <w:ind w:left="0"/>
              <w:jc w:val="both"/>
              <w:rPr>
                <w:sz w:val="20"/>
                <w:szCs w:val="20"/>
              </w:rPr>
            </w:pPr>
            <w:r w:rsidRPr="0023619B">
              <w:rPr>
                <w:b/>
                <w:sz w:val="20"/>
                <w:szCs w:val="20"/>
                <w:lang w:val="id-ID"/>
              </w:rPr>
              <w:t xml:space="preserve">Berat Badan Lahir Rendah </w:t>
            </w:r>
          </w:p>
          <w:p w:rsidR="00E92988" w:rsidRPr="0023619B" w:rsidRDefault="00E92988" w:rsidP="0023619B">
            <w:pPr>
              <w:pStyle w:val="ListParagraph1"/>
              <w:numPr>
                <w:ilvl w:val="0"/>
                <w:numId w:val="2"/>
              </w:numPr>
              <w:ind w:left="400" w:hangingChars="200" w:hanging="400"/>
              <w:jc w:val="both"/>
              <w:rPr>
                <w:sz w:val="20"/>
                <w:szCs w:val="20"/>
                <w:lang w:val="sv-SE"/>
              </w:rPr>
            </w:pPr>
            <w:r w:rsidRPr="0023619B">
              <w:rPr>
                <w:sz w:val="20"/>
                <w:szCs w:val="20"/>
                <w:lang w:val="id-ID"/>
              </w:rPr>
              <w:t>BBLR</w:t>
            </w:r>
          </w:p>
          <w:p w:rsidR="00E92988" w:rsidRPr="0023619B" w:rsidRDefault="00E92988" w:rsidP="0023619B">
            <w:pPr>
              <w:pStyle w:val="ListParagraph1"/>
              <w:numPr>
                <w:ilvl w:val="0"/>
                <w:numId w:val="2"/>
              </w:numPr>
              <w:ind w:left="400" w:hangingChars="200" w:hanging="400"/>
              <w:jc w:val="both"/>
              <w:rPr>
                <w:sz w:val="20"/>
                <w:szCs w:val="20"/>
                <w:lang w:val="sv-SE"/>
              </w:rPr>
            </w:pPr>
            <w:r w:rsidRPr="0023619B">
              <w:rPr>
                <w:sz w:val="20"/>
                <w:szCs w:val="20"/>
                <w:lang w:val="id-ID"/>
              </w:rPr>
              <w:t>Tidak BBLR</w:t>
            </w:r>
          </w:p>
        </w:tc>
        <w:tc>
          <w:tcPr>
            <w:tcW w:w="996" w:type="dxa"/>
            <w:tcBorders>
              <w:left w:val="nil"/>
              <w:bottom w:val="nil"/>
              <w:right w:val="nil"/>
            </w:tcBorders>
          </w:tcPr>
          <w:p w:rsidR="00E92988" w:rsidRPr="0023619B" w:rsidRDefault="00E92988" w:rsidP="0023619B">
            <w:pPr>
              <w:jc w:val="center"/>
              <w:rPr>
                <w:sz w:val="20"/>
                <w:szCs w:val="20"/>
                <w:lang w:val="id-ID"/>
              </w:rPr>
            </w:pPr>
          </w:p>
          <w:p w:rsidR="00E92988" w:rsidRPr="0023619B" w:rsidRDefault="00E92988" w:rsidP="0023619B">
            <w:pPr>
              <w:jc w:val="center"/>
              <w:rPr>
                <w:sz w:val="20"/>
                <w:szCs w:val="20"/>
                <w:lang w:val="id-ID"/>
              </w:rPr>
            </w:pPr>
          </w:p>
          <w:p w:rsidR="00E92988" w:rsidRPr="0023619B" w:rsidRDefault="00694753" w:rsidP="0023619B">
            <w:pPr>
              <w:jc w:val="center"/>
              <w:rPr>
                <w:sz w:val="20"/>
                <w:szCs w:val="20"/>
                <w:lang w:val="en-ID"/>
              </w:rPr>
            </w:pPr>
            <w:r w:rsidRPr="0023619B">
              <w:rPr>
                <w:sz w:val="20"/>
                <w:szCs w:val="20"/>
                <w:lang w:val="en-ID"/>
              </w:rPr>
              <w:t>54</w:t>
            </w:r>
          </w:p>
          <w:p w:rsidR="00E92988" w:rsidRPr="0023619B" w:rsidRDefault="00E92988" w:rsidP="0023619B">
            <w:pPr>
              <w:jc w:val="center"/>
              <w:rPr>
                <w:sz w:val="20"/>
                <w:szCs w:val="20"/>
                <w:lang w:val="id-ID"/>
              </w:rPr>
            </w:pPr>
            <w:r w:rsidRPr="0023619B">
              <w:rPr>
                <w:sz w:val="20"/>
                <w:szCs w:val="20"/>
                <w:lang w:val="id-ID"/>
              </w:rPr>
              <w:t>17</w:t>
            </w:r>
          </w:p>
        </w:tc>
        <w:tc>
          <w:tcPr>
            <w:tcW w:w="1239" w:type="dxa"/>
            <w:tcBorders>
              <w:left w:val="nil"/>
              <w:bottom w:val="nil"/>
              <w:right w:val="nil"/>
            </w:tcBorders>
          </w:tcPr>
          <w:p w:rsidR="00E92988" w:rsidRPr="0023619B" w:rsidRDefault="00E92988" w:rsidP="0023619B">
            <w:pPr>
              <w:jc w:val="center"/>
              <w:rPr>
                <w:sz w:val="20"/>
                <w:szCs w:val="20"/>
                <w:lang w:val="id-ID"/>
              </w:rPr>
            </w:pPr>
          </w:p>
          <w:p w:rsidR="00E92988" w:rsidRPr="0023619B" w:rsidRDefault="00E92988" w:rsidP="0023619B">
            <w:pPr>
              <w:jc w:val="center"/>
              <w:rPr>
                <w:sz w:val="20"/>
                <w:szCs w:val="20"/>
                <w:lang w:val="id-ID"/>
              </w:rPr>
            </w:pPr>
          </w:p>
          <w:p w:rsidR="00E92988" w:rsidRPr="0023619B" w:rsidRDefault="00694753" w:rsidP="0023619B">
            <w:pPr>
              <w:jc w:val="center"/>
              <w:rPr>
                <w:sz w:val="20"/>
                <w:szCs w:val="20"/>
                <w:lang w:val="id-ID"/>
              </w:rPr>
            </w:pPr>
            <w:r w:rsidRPr="0023619B">
              <w:rPr>
                <w:sz w:val="20"/>
                <w:szCs w:val="20"/>
                <w:lang w:val="en-ID"/>
              </w:rPr>
              <w:t>72</w:t>
            </w:r>
            <w:r w:rsidR="00E92988" w:rsidRPr="0023619B">
              <w:rPr>
                <w:sz w:val="20"/>
                <w:szCs w:val="20"/>
                <w:lang w:val="id-ID"/>
              </w:rPr>
              <w:t>%</w:t>
            </w:r>
          </w:p>
          <w:p w:rsidR="00E92988" w:rsidRPr="0023619B" w:rsidRDefault="00E92988" w:rsidP="0023619B">
            <w:pPr>
              <w:jc w:val="center"/>
              <w:rPr>
                <w:sz w:val="20"/>
                <w:szCs w:val="20"/>
                <w:lang w:val="id-ID"/>
              </w:rPr>
            </w:pPr>
            <w:r w:rsidRPr="0023619B">
              <w:rPr>
                <w:sz w:val="20"/>
                <w:szCs w:val="20"/>
                <w:lang w:val="id-ID"/>
              </w:rPr>
              <w:t>11,1%</w:t>
            </w:r>
          </w:p>
        </w:tc>
        <w:tc>
          <w:tcPr>
            <w:tcW w:w="1185" w:type="dxa"/>
            <w:tcBorders>
              <w:left w:val="nil"/>
              <w:bottom w:val="nil"/>
              <w:right w:val="nil"/>
            </w:tcBorders>
          </w:tcPr>
          <w:p w:rsidR="00E92988" w:rsidRPr="0023619B" w:rsidRDefault="00E92988" w:rsidP="0023619B">
            <w:pPr>
              <w:jc w:val="center"/>
              <w:rPr>
                <w:sz w:val="20"/>
                <w:szCs w:val="20"/>
                <w:lang w:val="id-ID"/>
              </w:rPr>
            </w:pPr>
          </w:p>
          <w:p w:rsidR="00E92988" w:rsidRPr="0023619B" w:rsidRDefault="00E92988" w:rsidP="0023619B">
            <w:pPr>
              <w:jc w:val="center"/>
              <w:rPr>
                <w:sz w:val="20"/>
                <w:szCs w:val="20"/>
                <w:lang w:val="id-ID"/>
              </w:rPr>
            </w:pPr>
          </w:p>
          <w:p w:rsidR="00E92988" w:rsidRPr="0023619B" w:rsidRDefault="00DD71F3" w:rsidP="0023619B">
            <w:pPr>
              <w:jc w:val="center"/>
              <w:rPr>
                <w:sz w:val="20"/>
                <w:szCs w:val="20"/>
                <w:lang w:val="en-ID"/>
              </w:rPr>
            </w:pPr>
            <w:r w:rsidRPr="0023619B">
              <w:rPr>
                <w:sz w:val="20"/>
                <w:szCs w:val="20"/>
                <w:lang w:val="en-ID"/>
              </w:rPr>
              <w:t>21</w:t>
            </w:r>
          </w:p>
          <w:p w:rsidR="00E92988" w:rsidRPr="0023619B" w:rsidRDefault="00E92988" w:rsidP="0023619B">
            <w:pPr>
              <w:jc w:val="center"/>
              <w:rPr>
                <w:sz w:val="20"/>
                <w:szCs w:val="20"/>
                <w:lang w:val="id-ID"/>
              </w:rPr>
            </w:pPr>
            <w:r w:rsidRPr="0023619B">
              <w:rPr>
                <w:sz w:val="20"/>
                <w:szCs w:val="20"/>
                <w:lang w:val="id-ID"/>
              </w:rPr>
              <w:t>136</w:t>
            </w:r>
          </w:p>
          <w:p w:rsidR="00E92988" w:rsidRPr="0023619B" w:rsidRDefault="00E92988" w:rsidP="0023619B">
            <w:pPr>
              <w:jc w:val="center"/>
              <w:rPr>
                <w:sz w:val="20"/>
                <w:szCs w:val="20"/>
                <w:lang w:val="id-ID"/>
              </w:rPr>
            </w:pPr>
          </w:p>
        </w:tc>
        <w:tc>
          <w:tcPr>
            <w:tcW w:w="1065" w:type="dxa"/>
            <w:tcBorders>
              <w:left w:val="nil"/>
              <w:bottom w:val="nil"/>
              <w:right w:val="nil"/>
            </w:tcBorders>
          </w:tcPr>
          <w:p w:rsidR="00E92988" w:rsidRPr="0023619B" w:rsidRDefault="00E92988" w:rsidP="0023619B">
            <w:pPr>
              <w:jc w:val="center"/>
              <w:rPr>
                <w:sz w:val="20"/>
                <w:szCs w:val="20"/>
                <w:lang w:val="id-ID"/>
              </w:rPr>
            </w:pPr>
          </w:p>
          <w:p w:rsidR="00E92988" w:rsidRPr="0023619B" w:rsidRDefault="00E92988" w:rsidP="0023619B">
            <w:pPr>
              <w:jc w:val="center"/>
              <w:rPr>
                <w:sz w:val="20"/>
                <w:szCs w:val="20"/>
                <w:lang w:val="id-ID"/>
              </w:rPr>
            </w:pPr>
          </w:p>
          <w:p w:rsidR="00E92988" w:rsidRPr="0023619B" w:rsidRDefault="00694753" w:rsidP="0023619B">
            <w:pPr>
              <w:jc w:val="center"/>
              <w:rPr>
                <w:sz w:val="20"/>
                <w:szCs w:val="20"/>
                <w:lang w:val="id-ID"/>
              </w:rPr>
            </w:pPr>
            <w:r w:rsidRPr="0023619B">
              <w:rPr>
                <w:sz w:val="20"/>
                <w:szCs w:val="20"/>
                <w:lang w:val="en-ID"/>
              </w:rPr>
              <w:t>28</w:t>
            </w:r>
            <w:r w:rsidR="00E92988" w:rsidRPr="0023619B">
              <w:rPr>
                <w:sz w:val="20"/>
                <w:szCs w:val="20"/>
                <w:lang w:val="id-ID"/>
              </w:rPr>
              <w:t>%</w:t>
            </w:r>
          </w:p>
          <w:p w:rsidR="00E92988" w:rsidRPr="0023619B" w:rsidRDefault="00E92988" w:rsidP="0023619B">
            <w:pPr>
              <w:jc w:val="center"/>
              <w:rPr>
                <w:sz w:val="20"/>
                <w:szCs w:val="20"/>
                <w:lang w:val="id-ID"/>
              </w:rPr>
            </w:pPr>
            <w:r w:rsidRPr="0023619B">
              <w:rPr>
                <w:sz w:val="20"/>
                <w:szCs w:val="20"/>
                <w:lang w:val="id-ID"/>
              </w:rPr>
              <w:t>88,9%</w:t>
            </w:r>
          </w:p>
        </w:tc>
        <w:tc>
          <w:tcPr>
            <w:tcW w:w="782" w:type="dxa"/>
            <w:tcBorders>
              <w:left w:val="nil"/>
              <w:bottom w:val="nil"/>
              <w:right w:val="nil"/>
            </w:tcBorders>
          </w:tcPr>
          <w:p w:rsidR="00E92988" w:rsidRPr="0023619B" w:rsidRDefault="00E92988" w:rsidP="0023619B">
            <w:pPr>
              <w:jc w:val="center"/>
              <w:rPr>
                <w:sz w:val="20"/>
                <w:szCs w:val="20"/>
                <w:lang w:val="id-ID"/>
              </w:rPr>
            </w:pPr>
          </w:p>
          <w:p w:rsidR="00E92988" w:rsidRPr="0023619B" w:rsidRDefault="00E92988" w:rsidP="0023619B">
            <w:pPr>
              <w:jc w:val="center"/>
              <w:rPr>
                <w:sz w:val="20"/>
                <w:szCs w:val="20"/>
                <w:lang w:val="id-ID"/>
              </w:rPr>
            </w:pPr>
          </w:p>
          <w:p w:rsidR="00E92988" w:rsidRPr="0023619B" w:rsidRDefault="00DD71F3" w:rsidP="0023619B">
            <w:pPr>
              <w:jc w:val="center"/>
              <w:rPr>
                <w:sz w:val="20"/>
                <w:szCs w:val="20"/>
                <w:lang w:val="en-ID"/>
              </w:rPr>
            </w:pPr>
            <w:r w:rsidRPr="0023619B">
              <w:rPr>
                <w:sz w:val="20"/>
                <w:szCs w:val="20"/>
                <w:lang w:val="en-ID"/>
              </w:rPr>
              <w:t>75</w:t>
            </w:r>
          </w:p>
          <w:p w:rsidR="00E92988" w:rsidRPr="0023619B" w:rsidRDefault="00E92988" w:rsidP="0023619B">
            <w:pPr>
              <w:jc w:val="center"/>
              <w:rPr>
                <w:sz w:val="20"/>
                <w:szCs w:val="20"/>
                <w:lang w:val="id-ID"/>
              </w:rPr>
            </w:pPr>
            <w:r w:rsidRPr="0023619B">
              <w:rPr>
                <w:sz w:val="20"/>
                <w:szCs w:val="20"/>
                <w:lang w:val="id-ID"/>
              </w:rPr>
              <w:t>153</w:t>
            </w:r>
          </w:p>
        </w:tc>
        <w:tc>
          <w:tcPr>
            <w:tcW w:w="630" w:type="dxa"/>
            <w:tcBorders>
              <w:left w:val="nil"/>
              <w:bottom w:val="nil"/>
              <w:right w:val="nil"/>
            </w:tcBorders>
          </w:tcPr>
          <w:p w:rsidR="00E92988" w:rsidRPr="0023619B" w:rsidRDefault="00E92988" w:rsidP="0023619B">
            <w:pPr>
              <w:jc w:val="center"/>
              <w:rPr>
                <w:sz w:val="20"/>
                <w:szCs w:val="20"/>
                <w:lang w:val="id-ID"/>
              </w:rPr>
            </w:pPr>
          </w:p>
          <w:p w:rsidR="00E92988" w:rsidRPr="0023619B" w:rsidRDefault="00E92988" w:rsidP="0023619B">
            <w:pPr>
              <w:jc w:val="center"/>
              <w:rPr>
                <w:sz w:val="20"/>
                <w:szCs w:val="20"/>
                <w:lang w:val="id-ID"/>
              </w:rPr>
            </w:pPr>
          </w:p>
          <w:p w:rsidR="00E92988" w:rsidRPr="0023619B" w:rsidRDefault="00E92988" w:rsidP="0023619B">
            <w:pPr>
              <w:jc w:val="center"/>
              <w:rPr>
                <w:sz w:val="20"/>
                <w:szCs w:val="20"/>
                <w:lang w:val="id-ID"/>
              </w:rPr>
            </w:pPr>
            <w:r w:rsidRPr="0023619B">
              <w:rPr>
                <w:sz w:val="20"/>
                <w:szCs w:val="20"/>
                <w:lang w:val="id-ID"/>
              </w:rPr>
              <w:t>100</w:t>
            </w:r>
          </w:p>
          <w:p w:rsidR="00E92988" w:rsidRPr="0023619B" w:rsidRDefault="00E92988" w:rsidP="0023619B">
            <w:pPr>
              <w:jc w:val="center"/>
              <w:rPr>
                <w:sz w:val="20"/>
                <w:szCs w:val="20"/>
                <w:lang w:val="id-ID"/>
              </w:rPr>
            </w:pPr>
            <w:r w:rsidRPr="0023619B">
              <w:rPr>
                <w:sz w:val="20"/>
                <w:szCs w:val="20"/>
                <w:lang w:val="id-ID"/>
              </w:rPr>
              <w:t>100</w:t>
            </w:r>
          </w:p>
          <w:p w:rsidR="00E92988" w:rsidRPr="0023619B" w:rsidRDefault="00E92988" w:rsidP="0023619B">
            <w:pPr>
              <w:jc w:val="center"/>
              <w:rPr>
                <w:sz w:val="20"/>
                <w:szCs w:val="20"/>
                <w:lang w:val="id-ID"/>
              </w:rPr>
            </w:pPr>
          </w:p>
        </w:tc>
        <w:tc>
          <w:tcPr>
            <w:tcW w:w="1194" w:type="dxa"/>
            <w:vMerge w:val="restart"/>
            <w:tcBorders>
              <w:left w:val="nil"/>
              <w:right w:val="nil"/>
            </w:tcBorders>
            <w:vAlign w:val="center"/>
          </w:tcPr>
          <w:p w:rsidR="00E92988" w:rsidRPr="0023619B" w:rsidRDefault="00E92988" w:rsidP="0023619B">
            <w:pPr>
              <w:jc w:val="center"/>
              <w:rPr>
                <w:sz w:val="20"/>
                <w:szCs w:val="20"/>
                <w:lang w:val="id-ID"/>
              </w:rPr>
            </w:pPr>
          </w:p>
          <w:p w:rsidR="00E92988" w:rsidRPr="0023619B" w:rsidRDefault="00E92988" w:rsidP="0023619B">
            <w:pPr>
              <w:jc w:val="center"/>
              <w:rPr>
                <w:sz w:val="20"/>
                <w:szCs w:val="20"/>
                <w:lang w:val="sv-SE"/>
              </w:rPr>
            </w:pPr>
            <w:r w:rsidRPr="0023619B">
              <w:rPr>
                <w:sz w:val="20"/>
                <w:szCs w:val="20"/>
                <w:lang w:val="id-ID"/>
              </w:rPr>
              <w:t>0,000</w:t>
            </w:r>
          </w:p>
          <w:p w:rsidR="00E92988" w:rsidRPr="0023619B" w:rsidRDefault="00E92988" w:rsidP="0023619B">
            <w:pPr>
              <w:jc w:val="center"/>
              <w:rPr>
                <w:sz w:val="20"/>
                <w:szCs w:val="20"/>
                <w:lang w:val="id-ID"/>
              </w:rPr>
            </w:pPr>
          </w:p>
        </w:tc>
      </w:tr>
      <w:tr w:rsidR="00E92988" w:rsidRPr="0023619B" w:rsidTr="00CA700D">
        <w:trPr>
          <w:trHeight w:val="70"/>
        </w:trPr>
        <w:tc>
          <w:tcPr>
            <w:tcW w:w="2123" w:type="dxa"/>
            <w:tcBorders>
              <w:top w:val="nil"/>
              <w:left w:val="nil"/>
              <w:right w:val="nil"/>
            </w:tcBorders>
          </w:tcPr>
          <w:p w:rsidR="00E92988" w:rsidRPr="0023619B" w:rsidRDefault="00E92988" w:rsidP="0023619B">
            <w:pPr>
              <w:pStyle w:val="ListParagraph1"/>
              <w:ind w:left="0"/>
              <w:jc w:val="both"/>
              <w:rPr>
                <w:sz w:val="20"/>
                <w:szCs w:val="20"/>
                <w:lang w:val="sv-SE"/>
              </w:rPr>
            </w:pPr>
          </w:p>
        </w:tc>
        <w:tc>
          <w:tcPr>
            <w:tcW w:w="996" w:type="dxa"/>
            <w:tcBorders>
              <w:top w:val="nil"/>
              <w:left w:val="nil"/>
              <w:right w:val="nil"/>
            </w:tcBorders>
          </w:tcPr>
          <w:p w:rsidR="00E92988" w:rsidRPr="0023619B" w:rsidRDefault="00E92988" w:rsidP="0023619B">
            <w:pPr>
              <w:rPr>
                <w:sz w:val="20"/>
                <w:szCs w:val="20"/>
                <w:lang w:val="en-ID"/>
              </w:rPr>
            </w:pPr>
          </w:p>
        </w:tc>
        <w:tc>
          <w:tcPr>
            <w:tcW w:w="1239" w:type="dxa"/>
            <w:tcBorders>
              <w:top w:val="nil"/>
              <w:left w:val="nil"/>
              <w:right w:val="nil"/>
            </w:tcBorders>
          </w:tcPr>
          <w:p w:rsidR="00E92988" w:rsidRPr="0023619B" w:rsidRDefault="00E92988" w:rsidP="0023619B">
            <w:pPr>
              <w:jc w:val="center"/>
              <w:rPr>
                <w:sz w:val="20"/>
                <w:szCs w:val="20"/>
                <w:lang w:val="id-ID"/>
              </w:rPr>
            </w:pPr>
          </w:p>
        </w:tc>
        <w:tc>
          <w:tcPr>
            <w:tcW w:w="1185" w:type="dxa"/>
            <w:tcBorders>
              <w:top w:val="nil"/>
              <w:left w:val="nil"/>
              <w:right w:val="nil"/>
            </w:tcBorders>
          </w:tcPr>
          <w:p w:rsidR="00E92988" w:rsidRPr="0023619B" w:rsidRDefault="00E92988" w:rsidP="0023619B">
            <w:pPr>
              <w:jc w:val="center"/>
              <w:rPr>
                <w:sz w:val="20"/>
                <w:szCs w:val="20"/>
                <w:lang w:val="id-ID"/>
              </w:rPr>
            </w:pPr>
          </w:p>
        </w:tc>
        <w:tc>
          <w:tcPr>
            <w:tcW w:w="1065" w:type="dxa"/>
            <w:tcBorders>
              <w:top w:val="nil"/>
              <w:left w:val="nil"/>
              <w:right w:val="nil"/>
            </w:tcBorders>
          </w:tcPr>
          <w:p w:rsidR="00E92988" w:rsidRPr="0023619B" w:rsidRDefault="00E92988" w:rsidP="0023619B">
            <w:pPr>
              <w:jc w:val="center"/>
              <w:rPr>
                <w:sz w:val="20"/>
                <w:szCs w:val="20"/>
                <w:lang w:val="id-ID"/>
              </w:rPr>
            </w:pPr>
          </w:p>
        </w:tc>
        <w:tc>
          <w:tcPr>
            <w:tcW w:w="782" w:type="dxa"/>
            <w:tcBorders>
              <w:top w:val="nil"/>
              <w:left w:val="nil"/>
              <w:right w:val="nil"/>
            </w:tcBorders>
          </w:tcPr>
          <w:p w:rsidR="00E92988" w:rsidRPr="0023619B" w:rsidRDefault="00E92988" w:rsidP="0023619B">
            <w:pPr>
              <w:jc w:val="center"/>
              <w:rPr>
                <w:sz w:val="20"/>
                <w:szCs w:val="20"/>
                <w:lang w:val="id-ID"/>
              </w:rPr>
            </w:pPr>
          </w:p>
        </w:tc>
        <w:tc>
          <w:tcPr>
            <w:tcW w:w="630" w:type="dxa"/>
            <w:tcBorders>
              <w:top w:val="nil"/>
              <w:left w:val="nil"/>
              <w:right w:val="nil"/>
            </w:tcBorders>
          </w:tcPr>
          <w:p w:rsidR="00E92988" w:rsidRPr="0023619B" w:rsidRDefault="00E92988" w:rsidP="0023619B">
            <w:pPr>
              <w:jc w:val="center"/>
              <w:rPr>
                <w:sz w:val="20"/>
                <w:szCs w:val="20"/>
                <w:lang w:val="id-ID"/>
              </w:rPr>
            </w:pPr>
          </w:p>
        </w:tc>
        <w:tc>
          <w:tcPr>
            <w:tcW w:w="1194" w:type="dxa"/>
            <w:vMerge/>
            <w:tcBorders>
              <w:left w:val="nil"/>
              <w:right w:val="nil"/>
            </w:tcBorders>
          </w:tcPr>
          <w:p w:rsidR="00E92988" w:rsidRPr="0023619B" w:rsidRDefault="00E92988" w:rsidP="0023619B">
            <w:pPr>
              <w:jc w:val="center"/>
              <w:rPr>
                <w:sz w:val="20"/>
                <w:szCs w:val="20"/>
                <w:lang w:val="sv-SE"/>
              </w:rPr>
            </w:pPr>
          </w:p>
        </w:tc>
      </w:tr>
    </w:tbl>
    <w:p w:rsidR="00E92988" w:rsidRDefault="00E92988" w:rsidP="00BF18BA">
      <w:pPr>
        <w:jc w:val="both"/>
        <w:sectPr w:rsidR="00E92988" w:rsidSect="00786ABB">
          <w:type w:val="continuous"/>
          <w:pgSz w:w="11907" w:h="16840" w:code="9"/>
          <w:pgMar w:top="1440" w:right="1440" w:bottom="1440" w:left="1440" w:header="720" w:footer="720" w:gutter="0"/>
          <w:pgBorders>
            <w:top w:val="none" w:sz="0" w:space="1" w:color="auto"/>
            <w:left w:val="none" w:sz="0" w:space="4" w:color="auto"/>
            <w:bottom w:val="none" w:sz="0" w:space="1" w:color="auto"/>
            <w:right w:val="none" w:sz="0" w:space="4" w:color="auto"/>
          </w:pgBorders>
          <w:cols w:space="720"/>
          <w:docGrid w:linePitch="360"/>
        </w:sectPr>
      </w:pPr>
    </w:p>
    <w:p w:rsidR="003316B5" w:rsidRDefault="00E92988" w:rsidP="00BF18BA">
      <w:pPr>
        <w:tabs>
          <w:tab w:val="left" w:pos="540"/>
          <w:tab w:val="left" w:pos="1080"/>
          <w:tab w:val="left" w:pos="1620"/>
        </w:tabs>
        <w:jc w:val="both"/>
        <w:sectPr w:rsidR="003316B5" w:rsidSect="00786ABB">
          <w:type w:val="continuous"/>
          <w:pgSz w:w="11907" w:h="16840" w:code="9"/>
          <w:pgMar w:top="1440" w:right="1440" w:bottom="1440" w:left="1440" w:header="720" w:footer="720" w:gutter="0"/>
          <w:pgBorders>
            <w:top w:val="none" w:sz="0" w:space="1" w:color="auto"/>
            <w:left w:val="none" w:sz="0" w:space="4" w:color="auto"/>
            <w:bottom w:val="none" w:sz="0" w:space="1" w:color="auto"/>
            <w:right w:val="none" w:sz="0" w:space="4" w:color="auto"/>
          </w:pgBorders>
          <w:cols w:num="2" w:space="720"/>
          <w:docGrid w:linePitch="360"/>
        </w:sectPr>
      </w:pPr>
      <w:r>
        <w:lastRenderedPageBreak/>
        <w:tab/>
      </w:r>
    </w:p>
    <w:p w:rsidR="0023619B" w:rsidRDefault="0023619B" w:rsidP="0023619B">
      <w:pPr>
        <w:tabs>
          <w:tab w:val="left" w:pos="540"/>
          <w:tab w:val="left" w:pos="1080"/>
          <w:tab w:val="left" w:pos="1620"/>
        </w:tabs>
        <w:spacing w:after="240"/>
        <w:jc w:val="both"/>
        <w:rPr>
          <w:lang w:val="en-ID"/>
        </w:rPr>
      </w:pPr>
      <w:r>
        <w:lastRenderedPageBreak/>
        <w:t xml:space="preserve">Dari </w:t>
      </w:r>
      <w:r w:rsidRPr="0023619B">
        <w:rPr>
          <w:b/>
        </w:rPr>
        <w:t>T</w:t>
      </w:r>
      <w:r w:rsidR="00E92988" w:rsidRPr="0023619B">
        <w:rPr>
          <w:b/>
        </w:rPr>
        <w:t>abel 2.</w:t>
      </w:r>
      <w:r w:rsidR="00E92988">
        <w:t xml:space="preserve"> </w:t>
      </w:r>
      <w:proofErr w:type="gramStart"/>
      <w:r>
        <w:rPr>
          <w:lang w:val="en-ID"/>
        </w:rPr>
        <w:t>d</w:t>
      </w:r>
      <w:r w:rsidR="00694753">
        <w:rPr>
          <w:lang w:val="en-ID"/>
        </w:rPr>
        <w:t>apat</w:t>
      </w:r>
      <w:proofErr w:type="gramEnd"/>
      <w:r w:rsidR="00694753">
        <w:rPr>
          <w:lang w:val="en-ID"/>
        </w:rPr>
        <w:t xml:space="preserve"> dilihat bahwa k</w:t>
      </w:r>
      <w:r w:rsidR="00694753">
        <w:rPr>
          <w:lang w:val="id-ID"/>
        </w:rPr>
        <w:t xml:space="preserve">ategori </w:t>
      </w:r>
      <w:r w:rsidR="00694753">
        <w:rPr>
          <w:lang w:val="en-ID"/>
        </w:rPr>
        <w:t>Bayi BBLR yang mengalami hiperbilirubin</w:t>
      </w:r>
      <w:r w:rsidR="00694753">
        <w:rPr>
          <w:lang w:val="id-ID"/>
        </w:rPr>
        <w:t xml:space="preserve"> sebanyak </w:t>
      </w:r>
      <w:r w:rsidR="00694753">
        <w:rPr>
          <w:lang w:val="en-ID"/>
        </w:rPr>
        <w:t>54</w:t>
      </w:r>
      <w:r w:rsidR="00694753">
        <w:rPr>
          <w:lang w:val="id-ID"/>
        </w:rPr>
        <w:t xml:space="preserve"> responden (</w:t>
      </w:r>
      <w:r w:rsidR="00694753">
        <w:rPr>
          <w:lang w:val="en-ID"/>
        </w:rPr>
        <w:t>72</w:t>
      </w:r>
      <w:r w:rsidR="00E92988">
        <w:rPr>
          <w:lang w:val="id-ID"/>
        </w:rPr>
        <w:t>%)</w:t>
      </w:r>
      <w:r w:rsidR="00E92988">
        <w:t xml:space="preserve"> lebih besar </w:t>
      </w:r>
      <w:r w:rsidR="00E92988">
        <w:rPr>
          <w:lang w:val="id-ID"/>
        </w:rPr>
        <w:t>dari</w:t>
      </w:r>
      <w:r w:rsidR="00694753">
        <w:rPr>
          <w:lang w:val="en-ID"/>
        </w:rPr>
        <w:t xml:space="preserve"> yang tidak mengalami hiperbilirubin yaitu sebanyak 21 Reseponden (28%). </w:t>
      </w:r>
      <w:r w:rsidR="00E92988">
        <w:rPr>
          <w:lang w:val="id-ID"/>
        </w:rPr>
        <w:t xml:space="preserve"> </w:t>
      </w:r>
      <w:r w:rsidR="00694753">
        <w:rPr>
          <w:lang w:val="en-ID"/>
        </w:rPr>
        <w:t xml:space="preserve">Pada kategori </w:t>
      </w:r>
      <w:r w:rsidR="00E92988">
        <w:rPr>
          <w:lang w:val="id-ID"/>
        </w:rPr>
        <w:t>berat badan bayi lahir cukup</w:t>
      </w:r>
      <w:r w:rsidR="00694753">
        <w:rPr>
          <w:lang w:val="en-ID"/>
        </w:rPr>
        <w:t xml:space="preserve"> </w:t>
      </w:r>
      <w:proofErr w:type="gramStart"/>
      <w:r w:rsidR="00694753">
        <w:rPr>
          <w:lang w:val="en-ID"/>
        </w:rPr>
        <w:t>didapatkan</w:t>
      </w:r>
      <w:r w:rsidR="00E92988">
        <w:rPr>
          <w:lang w:val="id-ID"/>
        </w:rPr>
        <w:t xml:space="preserve"> </w:t>
      </w:r>
      <w:r w:rsidR="00E92988">
        <w:t xml:space="preserve"> yaitu</w:t>
      </w:r>
      <w:proofErr w:type="gramEnd"/>
      <w:r w:rsidR="00E92988">
        <w:t xml:space="preserve"> sebanyak </w:t>
      </w:r>
      <w:r w:rsidR="00694753">
        <w:rPr>
          <w:lang w:val="en-ID"/>
        </w:rPr>
        <w:t>17</w:t>
      </w:r>
      <w:r w:rsidR="003316B5">
        <w:rPr>
          <w:lang w:val="id-ID"/>
        </w:rPr>
        <w:t xml:space="preserve"> </w:t>
      </w:r>
      <w:r w:rsidR="003316B5">
        <w:rPr>
          <w:lang w:val="en-ID"/>
        </w:rPr>
        <w:t>r</w:t>
      </w:r>
      <w:r w:rsidR="00694753">
        <w:rPr>
          <w:lang w:val="id-ID"/>
        </w:rPr>
        <w:t>esponden (</w:t>
      </w:r>
      <w:r w:rsidR="00694753">
        <w:rPr>
          <w:lang w:val="en-ID"/>
        </w:rPr>
        <w:t>11,1</w:t>
      </w:r>
      <w:r w:rsidR="00E92988">
        <w:t>%</w:t>
      </w:r>
      <w:r w:rsidR="003316B5">
        <w:rPr>
          <w:lang w:val="id-ID"/>
        </w:rPr>
        <w:t xml:space="preserve">) </w:t>
      </w:r>
      <w:r w:rsidR="003316B5">
        <w:rPr>
          <w:lang w:val="en-ID"/>
        </w:rPr>
        <w:t>yang mengalami hiperbilirubin lebih kecil dari pada  responden yang tidak mengalami hiperbilirubine yaitu sebanyak 136 responden (88,9 %) dengan</w:t>
      </w:r>
      <w:r w:rsidR="00CA700D">
        <w:rPr>
          <w:lang w:val="id-ID"/>
        </w:rPr>
        <w:t xml:space="preserve"> </w:t>
      </w:r>
      <w:r w:rsidR="00CA700D" w:rsidRPr="00CA700D">
        <w:rPr>
          <w:i/>
          <w:lang w:val="id-ID"/>
        </w:rPr>
        <w:t>p</w:t>
      </w:r>
      <w:r w:rsidR="003316B5" w:rsidRPr="00CA700D">
        <w:rPr>
          <w:i/>
          <w:lang w:val="en-ID"/>
        </w:rPr>
        <w:t xml:space="preserve"> </w:t>
      </w:r>
      <w:r w:rsidR="00E92988" w:rsidRPr="00CA700D">
        <w:rPr>
          <w:i/>
          <w:lang w:val="id-ID"/>
        </w:rPr>
        <w:t>value</w:t>
      </w:r>
      <w:r w:rsidR="00E92988">
        <w:rPr>
          <w:lang w:val="id-ID"/>
        </w:rPr>
        <w:t xml:space="preserve"> 0,000</w:t>
      </w:r>
      <w:r w:rsidR="003316B5">
        <w:t xml:space="preserve">. </w:t>
      </w: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1D2AAA" w:rsidRDefault="001D2AAA" w:rsidP="0023619B">
      <w:pPr>
        <w:tabs>
          <w:tab w:val="left" w:pos="540"/>
          <w:tab w:val="left" w:pos="1080"/>
          <w:tab w:val="left" w:pos="1620"/>
        </w:tabs>
        <w:spacing w:after="240"/>
        <w:jc w:val="both"/>
        <w:rPr>
          <w:b/>
        </w:rPr>
      </w:pPr>
    </w:p>
    <w:p w:rsidR="0023619B" w:rsidRDefault="00E92988" w:rsidP="0023619B">
      <w:pPr>
        <w:tabs>
          <w:tab w:val="left" w:pos="540"/>
          <w:tab w:val="left" w:pos="1080"/>
          <w:tab w:val="left" w:pos="1620"/>
        </w:tabs>
        <w:spacing w:after="240"/>
        <w:jc w:val="both"/>
        <w:rPr>
          <w:lang w:val="en-ID"/>
        </w:rPr>
      </w:pPr>
      <w:r>
        <w:rPr>
          <w:b/>
        </w:rPr>
        <w:lastRenderedPageBreak/>
        <w:t>PEMBAHASAN</w:t>
      </w:r>
    </w:p>
    <w:p w:rsidR="0023619B" w:rsidRDefault="0023619B" w:rsidP="0023619B">
      <w:pPr>
        <w:tabs>
          <w:tab w:val="left" w:pos="540"/>
          <w:tab w:val="left" w:pos="1080"/>
          <w:tab w:val="left" w:pos="1620"/>
        </w:tabs>
        <w:spacing w:after="240"/>
        <w:jc w:val="both"/>
        <w:rPr>
          <w:lang w:val="en-ID"/>
        </w:rPr>
      </w:pPr>
      <w:r>
        <w:rPr>
          <w:lang w:val="sv-SE"/>
        </w:rPr>
        <w:t xml:space="preserve">Berdasarkan </w:t>
      </w:r>
      <w:r w:rsidRPr="0023619B">
        <w:rPr>
          <w:b/>
          <w:lang w:val="sv-SE"/>
        </w:rPr>
        <w:t>T</w:t>
      </w:r>
      <w:r w:rsidR="00E92988" w:rsidRPr="0023619B">
        <w:rPr>
          <w:b/>
          <w:lang w:val="sv-SE"/>
        </w:rPr>
        <w:t>abel</w:t>
      </w:r>
      <w:r w:rsidRPr="0023619B">
        <w:rPr>
          <w:b/>
          <w:lang w:val="sv-SE"/>
        </w:rPr>
        <w:t xml:space="preserve"> 2</w:t>
      </w:r>
      <w:r w:rsidR="00E92988">
        <w:rPr>
          <w:lang w:val="sv-SE"/>
        </w:rPr>
        <w:t xml:space="preserve"> </w:t>
      </w:r>
      <w:r w:rsidR="00E92988">
        <w:rPr>
          <w:lang w:val="id-ID"/>
        </w:rPr>
        <w:t>di</w:t>
      </w:r>
      <w:r>
        <w:t xml:space="preserve"> </w:t>
      </w:r>
      <w:r w:rsidR="00E92988">
        <w:rPr>
          <w:lang w:val="id-ID"/>
        </w:rPr>
        <w:t xml:space="preserve">atas </w:t>
      </w:r>
      <w:r w:rsidR="003316B5">
        <w:rPr>
          <w:lang w:val="sv-SE"/>
        </w:rPr>
        <w:t>diketahui bahwa dari 75</w:t>
      </w:r>
      <w:r w:rsidR="00E92988">
        <w:rPr>
          <w:lang w:val="sv-SE"/>
        </w:rPr>
        <w:t xml:space="preserve"> responden dengan BBLR didapat proporsi bayi yang lahir BBLR yang mengalami h</w:t>
      </w:r>
      <w:r w:rsidR="003316B5">
        <w:rPr>
          <w:lang w:val="sv-SE"/>
        </w:rPr>
        <w:t>iperbilirubinemia sebanyak 54</w:t>
      </w:r>
      <w:r w:rsidR="00E92988">
        <w:rPr>
          <w:lang w:val="sv-SE"/>
        </w:rPr>
        <w:t xml:space="preserve"> responden (</w:t>
      </w:r>
      <w:r w:rsidR="003316B5">
        <w:rPr>
          <w:lang w:val="id-ID"/>
        </w:rPr>
        <w:t>7</w:t>
      </w:r>
      <w:r w:rsidR="003316B5">
        <w:rPr>
          <w:lang w:val="en-ID"/>
        </w:rPr>
        <w:t>2</w:t>
      </w:r>
      <w:r w:rsidR="00E92988">
        <w:rPr>
          <w:lang w:val="sv-SE"/>
        </w:rPr>
        <w:t>%), lebih besar dari proporsi bayi yang lahir BBLR yang tidak mengal</w:t>
      </w:r>
      <w:r w:rsidR="003316B5">
        <w:rPr>
          <w:lang w:val="sv-SE"/>
        </w:rPr>
        <w:t>ami hiperbilirubinemia sebesar 2</w:t>
      </w:r>
      <w:r w:rsidR="00E92988">
        <w:rPr>
          <w:lang w:val="sv-SE"/>
        </w:rPr>
        <w:t>1 responden (</w:t>
      </w:r>
      <w:r w:rsidR="003316B5">
        <w:rPr>
          <w:lang w:val="id-ID"/>
        </w:rPr>
        <w:t>2</w:t>
      </w:r>
      <w:r w:rsidR="003316B5">
        <w:rPr>
          <w:lang w:val="en-ID"/>
        </w:rPr>
        <w:t>8</w:t>
      </w:r>
      <w:r w:rsidR="00E92988">
        <w:rPr>
          <w:lang w:val="sv-SE"/>
        </w:rPr>
        <w:t>%).</w:t>
      </w:r>
    </w:p>
    <w:p w:rsidR="0023619B" w:rsidRDefault="00E92988" w:rsidP="0023619B">
      <w:pPr>
        <w:tabs>
          <w:tab w:val="left" w:pos="540"/>
          <w:tab w:val="left" w:pos="1080"/>
          <w:tab w:val="left" w:pos="1620"/>
        </w:tabs>
        <w:spacing w:after="240"/>
        <w:jc w:val="both"/>
        <w:rPr>
          <w:lang w:val="en-ID"/>
        </w:rPr>
      </w:pPr>
      <w:r>
        <w:rPr>
          <w:lang w:val="sv-SE"/>
        </w:rPr>
        <w:t xml:space="preserve">Hasil uji statistik </w:t>
      </w:r>
      <w:r>
        <w:rPr>
          <w:i/>
          <w:lang w:val="sv-SE"/>
        </w:rPr>
        <w:t>Chi-Square</w:t>
      </w:r>
      <w:r>
        <w:rPr>
          <w:lang w:val="sv-SE"/>
        </w:rPr>
        <w:t xml:space="preserve"> menunjukkan bahwa ada hubungan yang bermakna antara BBLR dengan kejadia</w:t>
      </w:r>
      <w:r w:rsidR="0023619B">
        <w:rPr>
          <w:lang w:val="sv-SE"/>
        </w:rPr>
        <w:t>n hiperbilirubinemia dengan</w:t>
      </w:r>
      <w:r>
        <w:rPr>
          <w:lang w:val="sv-SE"/>
        </w:rPr>
        <w:t xml:space="preserve"> </w:t>
      </w:r>
      <w:r>
        <w:rPr>
          <w:i/>
          <w:lang w:val="sv-SE"/>
        </w:rPr>
        <w:t>p value</w:t>
      </w:r>
      <w:r>
        <w:rPr>
          <w:lang w:val="sv-SE"/>
        </w:rPr>
        <w:t xml:space="preserve"> 0,000. Dikatakan ada hubungan karena nilai </w:t>
      </w:r>
      <w:r>
        <w:rPr>
          <w:i/>
          <w:lang w:val="sv-SE"/>
        </w:rPr>
        <w:t>p value</w:t>
      </w:r>
      <w:r w:rsidR="00CA700D">
        <w:rPr>
          <w:i/>
          <w:lang w:val="id-ID"/>
        </w:rPr>
        <w:t xml:space="preserve"> </w:t>
      </w:r>
      <w:r>
        <w:rPr>
          <w:lang w:val="sv-SE"/>
        </w:rPr>
        <w:sym w:font="Symbol" w:char="F0A3"/>
      </w:r>
      <w:r>
        <w:rPr>
          <w:lang w:val="sv-SE"/>
        </w:rPr>
        <w:t xml:space="preserve"> 0,05 dengan demikian hipotesa diterima.</w:t>
      </w:r>
    </w:p>
    <w:p w:rsidR="0023619B" w:rsidRDefault="00E92988" w:rsidP="0023619B">
      <w:pPr>
        <w:tabs>
          <w:tab w:val="left" w:pos="540"/>
          <w:tab w:val="left" w:pos="1080"/>
          <w:tab w:val="left" w:pos="1620"/>
        </w:tabs>
        <w:spacing w:after="240"/>
        <w:jc w:val="both"/>
        <w:rPr>
          <w:lang w:val="en-ID"/>
        </w:rPr>
      </w:pPr>
      <w:proofErr w:type="gramStart"/>
      <w:r>
        <w:rPr>
          <w:color w:val="000000"/>
        </w:rPr>
        <w:t>BBLR adalah bayi yang lahir dengan berat badan kurang dari 2500 gram tanpa memandang masa kehamilan.</w:t>
      </w:r>
      <w:proofErr w:type="gramEnd"/>
      <w:r>
        <w:rPr>
          <w:color w:val="000000"/>
        </w:rPr>
        <w:t xml:space="preserve"> Dahulu </w:t>
      </w:r>
      <w:r>
        <w:rPr>
          <w:i/>
          <w:iCs/>
          <w:color w:val="000000"/>
        </w:rPr>
        <w:t xml:space="preserve">neonatus </w:t>
      </w:r>
      <w:r>
        <w:rPr>
          <w:color w:val="000000"/>
        </w:rPr>
        <w:t xml:space="preserve">dengan berat badan lahir kurang dari 2500 gram atau </w:t>
      </w:r>
      <w:proofErr w:type="gramStart"/>
      <w:r>
        <w:rPr>
          <w:color w:val="000000"/>
        </w:rPr>
        <w:t>sama</w:t>
      </w:r>
      <w:proofErr w:type="gramEnd"/>
      <w:r>
        <w:rPr>
          <w:color w:val="000000"/>
        </w:rPr>
        <w:t xml:space="preserve"> dengan 2500 gram disebut prematur. </w:t>
      </w:r>
      <w:proofErr w:type="gramStart"/>
      <w:r>
        <w:rPr>
          <w:color w:val="000000"/>
        </w:rPr>
        <w:t xml:space="preserve">Pada tahun 1961 oleh WHO semua bayi yang baru lahir dengan berat kurang 2500 gram disebut </w:t>
      </w:r>
      <w:r>
        <w:rPr>
          <w:i/>
          <w:iCs/>
          <w:color w:val="000000"/>
        </w:rPr>
        <w:t>Low Birth Weight Infants</w:t>
      </w:r>
      <w:r>
        <w:rPr>
          <w:vertAlign w:val="superscript"/>
          <w:lang w:val="id-ID"/>
        </w:rPr>
        <w:t>9</w:t>
      </w:r>
      <w:r>
        <w:t>.</w:t>
      </w:r>
      <w:proofErr w:type="gramEnd"/>
    </w:p>
    <w:p w:rsidR="0023619B" w:rsidRDefault="00E92988" w:rsidP="0023619B">
      <w:pPr>
        <w:tabs>
          <w:tab w:val="left" w:pos="540"/>
          <w:tab w:val="left" w:pos="1080"/>
          <w:tab w:val="left" w:pos="1620"/>
        </w:tabs>
        <w:spacing w:after="240"/>
        <w:jc w:val="both"/>
        <w:rPr>
          <w:lang w:val="en-ID"/>
        </w:rPr>
      </w:pPr>
      <w:r>
        <w:t>Menurut teori (Keay), hiperbilirubin terjadi pada bayi dengan berat badan lahir rendah yaitu: 62</w:t>
      </w:r>
      <w:proofErr w:type="gramStart"/>
      <w:r>
        <w:t>,5</w:t>
      </w:r>
      <w:proofErr w:type="gramEnd"/>
      <w:r>
        <w:t xml:space="preserve">% dan  34,5% pada berat badan lahir normal. Hal ini disebabkan neonatus dengan berat badan antara 2500 – 4000 gram memiliki metabolisme yang tinggi, selain itu juga produksi bilirubin relatif lebih tinggi dibandingkan bayi-bayi dengan berat badan kurang dari 2500 gram. </w:t>
      </w:r>
      <w:proofErr w:type="gramStart"/>
      <w:r>
        <w:t xml:space="preserve">Sedangkan neonatus dengan berat badan &gt; 4000 gram juga memiliki metabolisme bilirubin yang tinggi karena hatinya sudah matur, tetapi cenderung mengalami trauma lahir </w:t>
      </w:r>
      <w:r>
        <w:rPr>
          <w:vertAlign w:val="superscript"/>
          <w:lang w:val="id-ID"/>
        </w:rPr>
        <w:t>10</w:t>
      </w:r>
      <w:r>
        <w:t>.</w:t>
      </w:r>
      <w:proofErr w:type="gramEnd"/>
    </w:p>
    <w:p w:rsidR="0023619B" w:rsidRDefault="00E92988" w:rsidP="0023619B">
      <w:pPr>
        <w:tabs>
          <w:tab w:val="left" w:pos="540"/>
          <w:tab w:val="left" w:pos="1080"/>
          <w:tab w:val="left" w:pos="1620"/>
        </w:tabs>
        <w:spacing w:after="240"/>
        <w:jc w:val="both"/>
        <w:rPr>
          <w:lang w:val="en-ID"/>
        </w:rPr>
      </w:pPr>
      <w:r>
        <w:t xml:space="preserve">Penelitian ini sesuai dengan hasil penelitian yang dilakukan oleh Hafiza (2013) </w:t>
      </w:r>
      <w:r>
        <w:rPr>
          <w:rFonts w:eastAsia="TimesNewRomanPSMT"/>
        </w:rPr>
        <w:t xml:space="preserve">dengan hasil uji statistik diperoleh nilai </w:t>
      </w:r>
      <w:r>
        <w:rPr>
          <w:rFonts w:eastAsia="TimesNewRomanPSMT"/>
          <w:iCs/>
        </w:rPr>
        <w:t xml:space="preserve">p value </w:t>
      </w:r>
      <w:r w:rsidR="0023619B">
        <w:rPr>
          <w:rFonts w:eastAsia="TimesNewRomanPSMT"/>
        </w:rPr>
        <w:t xml:space="preserve">0, 011 </w:t>
      </w:r>
      <w:r>
        <w:rPr>
          <w:rFonts w:eastAsia="TimesNewRomanPSMT"/>
        </w:rPr>
        <w:t>(</w:t>
      </w:r>
      <w:r>
        <w:rPr>
          <w:rFonts w:eastAsia="TimesNewRomanPSMT"/>
          <w:i/>
        </w:rPr>
        <w:t xml:space="preserve">p </w:t>
      </w:r>
      <w:r>
        <w:rPr>
          <w:rFonts w:eastAsia="TimesNewRomanPSMT"/>
        </w:rPr>
        <w:t>&lt; 0</w:t>
      </w:r>
      <w:proofErr w:type="gramStart"/>
      <w:r>
        <w:rPr>
          <w:rFonts w:eastAsia="TimesNewRomanPSMT"/>
        </w:rPr>
        <w:t>,05</w:t>
      </w:r>
      <w:proofErr w:type="gramEnd"/>
      <w:r>
        <w:rPr>
          <w:rFonts w:eastAsia="TimesNewRomanPSMT"/>
        </w:rPr>
        <w:t xml:space="preserve">), ini mengindikasikan ada hubungan yang </w:t>
      </w:r>
      <w:r>
        <w:rPr>
          <w:rFonts w:eastAsia="TimesNewRomanPSMT"/>
        </w:rPr>
        <w:lastRenderedPageBreak/>
        <w:t xml:space="preserve">bermakna antara berat badan lahir dengan kejadian </w:t>
      </w:r>
      <w:r>
        <w:rPr>
          <w:rFonts w:eastAsia="TimesNewRomanPSMT"/>
          <w:iCs/>
        </w:rPr>
        <w:t>Hiperbilirubinemia.</w:t>
      </w:r>
    </w:p>
    <w:p w:rsidR="00DC5C61" w:rsidRDefault="00E92988" w:rsidP="00DC5C61">
      <w:pPr>
        <w:tabs>
          <w:tab w:val="left" w:pos="540"/>
          <w:tab w:val="left" w:pos="1080"/>
          <w:tab w:val="left" w:pos="1620"/>
        </w:tabs>
        <w:spacing w:after="240"/>
        <w:jc w:val="both"/>
        <w:rPr>
          <w:lang w:val="en-ID"/>
        </w:rPr>
      </w:pPr>
      <w:r>
        <w:rPr>
          <w:lang w:val="sv-SE"/>
        </w:rPr>
        <w:t>Dari hasil penelitian di</w:t>
      </w:r>
      <w:r w:rsidR="0023619B">
        <w:rPr>
          <w:lang w:val="sv-SE"/>
        </w:rPr>
        <w:t xml:space="preserve"> </w:t>
      </w:r>
      <w:r>
        <w:rPr>
          <w:lang w:val="sv-SE"/>
        </w:rPr>
        <w:t>atas dap</w:t>
      </w:r>
      <w:r w:rsidR="003316B5">
        <w:rPr>
          <w:lang w:val="sv-SE"/>
        </w:rPr>
        <w:t>at ditarik kesimpulan bahwa BBL</w:t>
      </w:r>
      <w:r>
        <w:rPr>
          <w:lang w:val="sv-SE"/>
        </w:rPr>
        <w:t xml:space="preserve"> mempengaruhi</w:t>
      </w:r>
      <w:r w:rsidR="003316B5">
        <w:rPr>
          <w:lang w:val="sv-SE"/>
        </w:rPr>
        <w:t xml:space="preserve"> </w:t>
      </w:r>
      <w:r>
        <w:rPr>
          <w:lang w:val="sv-SE"/>
        </w:rPr>
        <w:t xml:space="preserve">kejadian hiperbilirubinemia. Kejadian hiperbilirubinemia banyak terjadi pada bayi dengan BBLR, di banding dengan bayi yang memiliki berat badan normal, hal ini terbukti berdasarkan peneliti didapatkan kejadian hiperbilirubinemia banyak dialami pada responden dengan BBLR yaitu sebesar </w:t>
      </w:r>
      <w:r w:rsidR="003316B5">
        <w:rPr>
          <w:lang w:val="id-ID"/>
        </w:rPr>
        <w:t>7</w:t>
      </w:r>
      <w:r w:rsidR="003316B5">
        <w:rPr>
          <w:lang w:val="en-ID"/>
        </w:rPr>
        <w:t>2</w:t>
      </w:r>
      <w:r>
        <w:rPr>
          <w:lang w:val="sv-SE"/>
        </w:rPr>
        <w:t xml:space="preserve">%. </w:t>
      </w:r>
    </w:p>
    <w:p w:rsidR="00DC5C61" w:rsidRDefault="00E92988" w:rsidP="00DC5C61">
      <w:pPr>
        <w:tabs>
          <w:tab w:val="left" w:pos="540"/>
          <w:tab w:val="left" w:pos="1080"/>
          <w:tab w:val="left" w:pos="1620"/>
        </w:tabs>
        <w:spacing w:after="240"/>
        <w:jc w:val="both"/>
        <w:rPr>
          <w:lang w:val="en-ID"/>
        </w:rPr>
      </w:pPr>
      <w:r>
        <w:t xml:space="preserve">Bayi yang lahir dengan berat badan lahir rendah atau bayi dengan berat badan lahir &lt; 2500 gram yang mengalami hiperbilirubin disebabkan karena organ tubuhnya yang masih lemah dan karena fungsi hepar yang belum matang atau terdapat gangguan dalam fungsi hepar seperti hipoksia, hipoglikemi, asidosis, dll sehingga mengakibatkan </w:t>
      </w:r>
      <w:proofErr w:type="gramStart"/>
      <w:r>
        <w:t>kadar</w:t>
      </w:r>
      <w:proofErr w:type="gramEnd"/>
      <w:r>
        <w:t xml:space="preserve"> bilirubin meningkat dan bilirubin indirek akan mudah melewati darah otak.</w:t>
      </w:r>
    </w:p>
    <w:p w:rsidR="00DC5C61" w:rsidRDefault="00E92988" w:rsidP="00DC5C61">
      <w:pPr>
        <w:tabs>
          <w:tab w:val="left" w:pos="540"/>
          <w:tab w:val="left" w:pos="1080"/>
          <w:tab w:val="left" w:pos="1620"/>
        </w:tabs>
        <w:spacing w:after="240"/>
        <w:jc w:val="both"/>
        <w:rPr>
          <w:lang w:val="en-ID"/>
        </w:rPr>
      </w:pPr>
      <w:proofErr w:type="gramStart"/>
      <w:r>
        <w:t>Sedangkan bayi non BBLR dengan berat</w:t>
      </w:r>
      <w:r w:rsidR="003316B5">
        <w:t xml:space="preserve"> </w:t>
      </w:r>
      <w:r>
        <w:t xml:space="preserve">2500-4000 gram yang menderita hiperbilirunemia bisa disebabkan adanya </w:t>
      </w:r>
      <w:r>
        <w:rPr>
          <w:color w:val="000000"/>
        </w:rPr>
        <w:t xml:space="preserve">gangguan obstruksi dalam hepar atau di luar hepar atau dapat disebabkan </w:t>
      </w:r>
      <w:r>
        <w:rPr>
          <w:rFonts w:eastAsia="Calibri"/>
        </w:rPr>
        <w:t>kegagalan hati (karena rusak) untuk mengekskresikan bilirubin yang dihasilkan dalam jumlah normal</w:t>
      </w:r>
      <w:r>
        <w:rPr>
          <w:color w:val="000000"/>
        </w:rPr>
        <w:t>.</w:t>
      </w:r>
      <w:proofErr w:type="gramEnd"/>
      <w:r>
        <w:rPr>
          <w:color w:val="000000"/>
        </w:rPr>
        <w:t xml:space="preserve"> </w:t>
      </w:r>
      <w:proofErr w:type="gramStart"/>
      <w:r>
        <w:rPr>
          <w:color w:val="000000"/>
        </w:rPr>
        <w:t>Kelainan di luar hepar biasanya diakibatkan oleh kelainan bawaan.</w:t>
      </w:r>
      <w:proofErr w:type="gramEnd"/>
      <w:r>
        <w:rPr>
          <w:color w:val="000000"/>
        </w:rPr>
        <w:t xml:space="preserve"> Obstruksi dalam hepar biasanya akibat infeksi atau kerusakan hepar oleh penyebab lain. </w:t>
      </w:r>
      <w:proofErr w:type="gramStart"/>
      <w:r>
        <w:rPr>
          <w:color w:val="000000"/>
        </w:rPr>
        <w:t>Bayi dengan yang lahir dengan berat badan normal yang menderita hiperbilirubinemia bisa juga disebabkan karena bayi tidak mendapatkan ASI.</w:t>
      </w:r>
      <w:proofErr w:type="gramEnd"/>
      <w:r>
        <w:rPr>
          <w:color w:val="000000"/>
        </w:rPr>
        <w:t xml:space="preserve"> </w:t>
      </w:r>
      <w:proofErr w:type="gramStart"/>
      <w:r>
        <w:rPr>
          <w:color w:val="000000"/>
        </w:rPr>
        <w:t xml:space="preserve">Bayi yang lahir dengan berat badan normal </w:t>
      </w:r>
      <w:r>
        <w:t>memiliki metabolisme yang tinggi, selain itu juga produksi bilirubin relatif lebih tinggi dibandingkan bayi-bayi dengan berat badan kurang dari 2500 gram.</w:t>
      </w:r>
      <w:proofErr w:type="gramEnd"/>
      <w:r>
        <w:t xml:space="preserve"> Untuk meningkatnya metabolisme produksi </w:t>
      </w:r>
      <w:r>
        <w:rPr>
          <w:iCs/>
        </w:rPr>
        <w:t>bilirubin</w:t>
      </w:r>
      <w:r>
        <w:t xml:space="preserve">dalam tubuh bayi dapat </w:t>
      </w:r>
      <w:r>
        <w:rPr>
          <w:lang w:val="sv-SE"/>
        </w:rPr>
        <w:t xml:space="preserve">dengan </w:t>
      </w:r>
      <w:proofErr w:type="gramStart"/>
      <w:r>
        <w:rPr>
          <w:lang w:val="sv-SE"/>
        </w:rPr>
        <w:t>cara</w:t>
      </w:r>
      <w:proofErr w:type="gramEnd"/>
      <w:r>
        <w:rPr>
          <w:lang w:val="sv-SE"/>
        </w:rPr>
        <w:t xml:space="preserve"> terapi sinar seluruh tubuh kecuali </w:t>
      </w:r>
      <w:r>
        <w:rPr>
          <w:lang w:val="sv-SE"/>
        </w:rPr>
        <w:lastRenderedPageBreak/>
        <w:t xml:space="preserve">pada </w:t>
      </w:r>
      <w:r>
        <w:rPr>
          <w:color w:val="000000"/>
        </w:rPr>
        <w:t>mata dan kemaluan harus ditutup dengan penutup yang dapat memantulkan cahaya agar tidak membahayakan retina mata dan sel reproduksi bayi</w:t>
      </w:r>
      <w:r>
        <w:rPr>
          <w:lang w:val="sv-SE"/>
        </w:rPr>
        <w:t xml:space="preserve"> dan</w:t>
      </w:r>
      <w:r>
        <w:t xml:space="preserve"> dapat diatasi dengan mempercepat pemberian makanan dini (ASI).</w:t>
      </w:r>
    </w:p>
    <w:p w:rsidR="00DC5C61" w:rsidRDefault="00DC5C61" w:rsidP="00DC5C61">
      <w:pPr>
        <w:tabs>
          <w:tab w:val="left" w:pos="540"/>
          <w:tab w:val="left" w:pos="1080"/>
          <w:tab w:val="left" w:pos="1620"/>
        </w:tabs>
        <w:spacing w:after="240"/>
        <w:jc w:val="both"/>
        <w:rPr>
          <w:lang w:val="en-ID"/>
        </w:rPr>
      </w:pPr>
    </w:p>
    <w:p w:rsidR="00DC5C61" w:rsidRDefault="00E92988" w:rsidP="00DC5C61">
      <w:pPr>
        <w:tabs>
          <w:tab w:val="left" w:pos="540"/>
          <w:tab w:val="left" w:pos="1080"/>
          <w:tab w:val="left" w:pos="1620"/>
        </w:tabs>
        <w:spacing w:after="240"/>
        <w:jc w:val="both"/>
        <w:rPr>
          <w:lang w:val="en-ID"/>
        </w:rPr>
      </w:pPr>
      <w:r>
        <w:rPr>
          <w:b/>
          <w:lang w:val="it-IT"/>
        </w:rPr>
        <w:t>SIMPULAN</w:t>
      </w:r>
    </w:p>
    <w:p w:rsidR="00DC5C61" w:rsidRDefault="00E92988" w:rsidP="00DC5C61">
      <w:pPr>
        <w:tabs>
          <w:tab w:val="left" w:pos="540"/>
          <w:tab w:val="left" w:pos="1080"/>
          <w:tab w:val="left" w:pos="1620"/>
        </w:tabs>
        <w:spacing w:after="240"/>
        <w:jc w:val="both"/>
        <w:rPr>
          <w:lang w:val="en-ID"/>
        </w:rPr>
      </w:pPr>
      <w:r>
        <w:t>Kejadian hiperbilirubinemia di RSUD dr. Ibnu Soetowo Baturaja Kabupa</w:t>
      </w:r>
      <w:r w:rsidR="0008196D">
        <w:t>ten Ogan Komering Ulu Tahun 2019 sebesar 86 (27</w:t>
      </w:r>
      <w:proofErr w:type="gramStart"/>
      <w:r w:rsidR="0008196D">
        <w:t>,8</w:t>
      </w:r>
      <w:proofErr w:type="gramEnd"/>
      <w:r>
        <w:t>%)</w:t>
      </w:r>
      <w:r>
        <w:rPr>
          <w:lang w:val="sv-SE"/>
        </w:rPr>
        <w:t>.</w:t>
      </w:r>
    </w:p>
    <w:p w:rsidR="00DC5C61" w:rsidRDefault="00E92988" w:rsidP="00DC5C61">
      <w:pPr>
        <w:tabs>
          <w:tab w:val="left" w:pos="540"/>
          <w:tab w:val="left" w:pos="1080"/>
          <w:tab w:val="left" w:pos="1620"/>
        </w:tabs>
        <w:spacing w:after="240"/>
        <w:jc w:val="both"/>
        <w:rPr>
          <w:lang w:val="en-ID"/>
        </w:rPr>
      </w:pPr>
      <w:r>
        <w:rPr>
          <w:lang w:val="sv-SE"/>
        </w:rPr>
        <w:t>Anak yang BBLR di RSUD dr. Ibnu Soetowo Baturaja Kabupaten Ogan Ko</w:t>
      </w:r>
      <w:r w:rsidR="0008196D">
        <w:rPr>
          <w:lang w:val="sv-SE"/>
        </w:rPr>
        <w:t>mering Ulu Tahun 2016 sebesar 75 (24</w:t>
      </w:r>
      <w:r>
        <w:rPr>
          <w:lang w:val="sv-SE"/>
        </w:rPr>
        <w:t>%).</w:t>
      </w:r>
    </w:p>
    <w:p w:rsidR="00DC5C61" w:rsidRDefault="00E92988" w:rsidP="00DC5C61">
      <w:pPr>
        <w:tabs>
          <w:tab w:val="left" w:pos="540"/>
          <w:tab w:val="left" w:pos="1080"/>
          <w:tab w:val="left" w:pos="1620"/>
        </w:tabs>
        <w:spacing w:after="240"/>
        <w:jc w:val="both"/>
        <w:rPr>
          <w:lang w:val="en-ID"/>
        </w:rPr>
      </w:pPr>
      <w:r>
        <w:rPr>
          <w:lang w:val="sv-SE"/>
        </w:rPr>
        <w:t xml:space="preserve">Ada </w:t>
      </w:r>
      <w:r>
        <w:t>hubungan BBLR dengan kejadian hiperbilirubinemia di RSUD dr. Ibnu Soetowo Baturaja Kabupaten Ogan Komering Ulu Tahun 201</w:t>
      </w:r>
      <w:r w:rsidR="0008196D">
        <w:rPr>
          <w:lang w:val="en-ID"/>
        </w:rPr>
        <w:t>9</w:t>
      </w:r>
      <w:r>
        <w:t xml:space="preserve">. </w:t>
      </w:r>
      <w:r>
        <w:rPr>
          <w:lang w:val="sv-SE"/>
        </w:rPr>
        <w:t xml:space="preserve">Hal tersebut dibuktikan pada nilai uji statistik dengan nilai </w:t>
      </w:r>
      <w:r>
        <w:rPr>
          <w:i/>
          <w:lang w:val="sv-SE"/>
        </w:rPr>
        <w:t>p value</w:t>
      </w:r>
      <w:r>
        <w:rPr>
          <w:lang w:val="sv-SE"/>
        </w:rPr>
        <w:t xml:space="preserve"> 0,000.</w:t>
      </w: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p>
    <w:p w:rsidR="001D2AAA" w:rsidRDefault="001D2AAA" w:rsidP="00DC5C61">
      <w:pPr>
        <w:tabs>
          <w:tab w:val="left" w:pos="540"/>
          <w:tab w:val="left" w:pos="1080"/>
          <w:tab w:val="left" w:pos="1620"/>
        </w:tabs>
        <w:spacing w:after="240"/>
        <w:jc w:val="both"/>
        <w:rPr>
          <w:b/>
        </w:rPr>
      </w:pPr>
      <w:bookmarkStart w:id="0" w:name="_GoBack"/>
      <w:bookmarkEnd w:id="0"/>
    </w:p>
    <w:p w:rsidR="00E92988" w:rsidRPr="00DC5C61" w:rsidRDefault="00CA700D" w:rsidP="00DC5C61">
      <w:pPr>
        <w:tabs>
          <w:tab w:val="left" w:pos="540"/>
          <w:tab w:val="left" w:pos="1080"/>
          <w:tab w:val="left" w:pos="1620"/>
        </w:tabs>
        <w:spacing w:after="240"/>
        <w:jc w:val="both"/>
        <w:rPr>
          <w:lang w:val="en-ID"/>
        </w:rPr>
      </w:pPr>
      <w:r>
        <w:rPr>
          <w:b/>
        </w:rPr>
        <w:lastRenderedPageBreak/>
        <w:t xml:space="preserve">DAFTAR </w:t>
      </w:r>
      <w:r>
        <w:rPr>
          <w:b/>
          <w:lang w:val="id-ID"/>
        </w:rPr>
        <w:t>PUSTAKA</w:t>
      </w:r>
    </w:p>
    <w:p w:rsidR="00E92988" w:rsidRPr="00067070" w:rsidRDefault="0008196D" w:rsidP="00067070">
      <w:pPr>
        <w:pStyle w:val="ListParagraph"/>
        <w:numPr>
          <w:ilvl w:val="0"/>
          <w:numId w:val="5"/>
        </w:numPr>
        <w:ind w:left="426" w:hanging="426"/>
        <w:jc w:val="both"/>
        <w:rPr>
          <w:b/>
          <w:lang w:val="id-ID"/>
        </w:rPr>
      </w:pPr>
      <w:r>
        <w:t>Hafiza dan Imelda, 2015</w:t>
      </w:r>
      <w:r w:rsidR="00E92988">
        <w:t xml:space="preserve">. </w:t>
      </w:r>
      <w:r w:rsidR="00E92988" w:rsidRPr="00CA700D">
        <w:rPr>
          <w:i/>
        </w:rPr>
        <w:t>Faktor-</w:t>
      </w:r>
      <w:proofErr w:type="gramStart"/>
      <w:r w:rsidR="00E92988" w:rsidRPr="00CA700D">
        <w:rPr>
          <w:i/>
        </w:rPr>
        <w:t xml:space="preserve">Faktor </w:t>
      </w:r>
      <w:r w:rsidR="00CA700D">
        <w:rPr>
          <w:i/>
          <w:lang w:val="id-ID"/>
        </w:rPr>
        <w:t xml:space="preserve"> </w:t>
      </w:r>
      <w:r w:rsidR="00E92988" w:rsidRPr="00CA700D">
        <w:rPr>
          <w:i/>
        </w:rPr>
        <w:t>yang</w:t>
      </w:r>
      <w:proofErr w:type="gramEnd"/>
      <w:r w:rsidR="00E92988" w:rsidRPr="00CA700D">
        <w:rPr>
          <w:i/>
        </w:rPr>
        <w:t xml:space="preserve"> Berhubungan dengan Kejadian</w:t>
      </w:r>
      <w:r w:rsidR="00CA700D">
        <w:rPr>
          <w:i/>
          <w:lang w:val="id-ID"/>
        </w:rPr>
        <w:t xml:space="preserve"> </w:t>
      </w:r>
      <w:r w:rsidR="00E92988" w:rsidRPr="00CA700D">
        <w:rPr>
          <w:i/>
        </w:rPr>
        <w:t xml:space="preserve">Hiperbilirubinemia di </w:t>
      </w:r>
      <w:r w:rsidR="00E92988" w:rsidRPr="00CA700D">
        <w:rPr>
          <w:i/>
          <w:lang w:val="id-ID"/>
        </w:rPr>
        <w:tab/>
      </w:r>
      <w:r w:rsidR="00CA700D">
        <w:rPr>
          <w:i/>
        </w:rPr>
        <w:t>Ruang</w:t>
      </w:r>
      <w:r w:rsidR="00CA700D">
        <w:rPr>
          <w:i/>
          <w:lang w:val="id-ID"/>
        </w:rPr>
        <w:t xml:space="preserve"> </w:t>
      </w:r>
      <w:r w:rsidR="00067070">
        <w:rPr>
          <w:i/>
          <w:lang w:val="id-ID"/>
        </w:rPr>
        <w:t xml:space="preserve"> n</w:t>
      </w:r>
      <w:r w:rsidR="00E92988" w:rsidRPr="00CA700D">
        <w:rPr>
          <w:i/>
        </w:rPr>
        <w:t xml:space="preserve">eonatus Intensive Care Unit (NICU) Rumah Sakit daerah dr. </w:t>
      </w:r>
      <w:r w:rsidR="00E92988" w:rsidRPr="00CA700D">
        <w:rPr>
          <w:i/>
          <w:lang w:val="id-ID"/>
        </w:rPr>
        <w:tab/>
      </w:r>
      <w:r w:rsidR="00E92988" w:rsidRPr="00CA700D">
        <w:rPr>
          <w:i/>
        </w:rPr>
        <w:t>Zainal Abidin Banda Aceh</w:t>
      </w:r>
      <w:r w:rsidR="00E92988">
        <w:t>. Jurnal LPPM</w:t>
      </w:r>
      <w:r w:rsidR="00067070">
        <w:rPr>
          <w:lang w:val="id-ID"/>
        </w:rPr>
        <w:t>.</w:t>
      </w:r>
    </w:p>
    <w:p w:rsidR="00E92988" w:rsidRPr="00067070" w:rsidRDefault="00E92988" w:rsidP="00067070">
      <w:pPr>
        <w:pStyle w:val="ListParagraph"/>
        <w:numPr>
          <w:ilvl w:val="0"/>
          <w:numId w:val="5"/>
        </w:numPr>
        <w:ind w:left="426" w:hanging="426"/>
        <w:jc w:val="both"/>
        <w:rPr>
          <w:b/>
          <w:lang w:val="id-ID"/>
        </w:rPr>
      </w:pPr>
      <w:r w:rsidRPr="00067070">
        <w:rPr>
          <w:lang w:val="sv-SE"/>
        </w:rPr>
        <w:t xml:space="preserve">Mauliku dan Nurjanah. 2014. </w:t>
      </w:r>
      <w:r w:rsidRPr="00067070">
        <w:rPr>
          <w:i/>
          <w:iCs/>
          <w:lang w:val="sv-SE"/>
        </w:rPr>
        <w:t>Faktor-F</w:t>
      </w:r>
      <w:r w:rsidR="00067070">
        <w:rPr>
          <w:i/>
          <w:iCs/>
          <w:lang w:val="sv-SE"/>
        </w:rPr>
        <w:t>aktor pada Ibu yang Berhubungan</w:t>
      </w:r>
      <w:r w:rsidR="00067070">
        <w:rPr>
          <w:i/>
          <w:iCs/>
          <w:lang w:val="id-ID"/>
        </w:rPr>
        <w:t xml:space="preserve"> </w:t>
      </w:r>
      <w:r w:rsidRPr="00067070">
        <w:rPr>
          <w:i/>
          <w:iCs/>
          <w:lang w:val="sv-SE"/>
        </w:rPr>
        <w:t>dengan</w:t>
      </w:r>
      <w:r w:rsidR="00067070">
        <w:rPr>
          <w:i/>
          <w:iCs/>
          <w:lang w:val="id-ID"/>
        </w:rPr>
        <w:t xml:space="preserve"> </w:t>
      </w:r>
      <w:r w:rsidRPr="00067070">
        <w:rPr>
          <w:i/>
          <w:iCs/>
          <w:lang w:val="sv-SE"/>
        </w:rPr>
        <w:t>KejadianHiperbilirubin pada Bayi Baru Lahir di Rumah Sakit Dustira Cimahi.</w:t>
      </w:r>
      <w:r w:rsidRPr="00067070">
        <w:rPr>
          <w:iCs/>
          <w:lang w:val="sv-SE"/>
        </w:rPr>
        <w:t xml:space="preserve"> Jurnal Keperawatan</w:t>
      </w:r>
      <w:r w:rsidR="00067070">
        <w:rPr>
          <w:iCs/>
          <w:lang w:val="id-ID"/>
        </w:rPr>
        <w:t>.</w:t>
      </w:r>
    </w:p>
    <w:p w:rsidR="00E92988" w:rsidRPr="00067070" w:rsidRDefault="00E92988" w:rsidP="00067070">
      <w:pPr>
        <w:pStyle w:val="ListParagraph"/>
        <w:numPr>
          <w:ilvl w:val="0"/>
          <w:numId w:val="5"/>
        </w:numPr>
        <w:ind w:left="426" w:hanging="426"/>
        <w:jc w:val="both"/>
        <w:rPr>
          <w:b/>
          <w:lang w:val="id-ID"/>
        </w:rPr>
      </w:pPr>
      <w:r>
        <w:t xml:space="preserve">Sastrawati dan Meliati. </w:t>
      </w:r>
      <w:r w:rsidRPr="00067070">
        <w:rPr>
          <w:i/>
        </w:rPr>
        <w:t>Analisa Faktor Penyebab Kejadian Hiperbilirubin di Rumah Sakit Uum Daerah Kota Mataram Periode Januari-Agustus 2015</w:t>
      </w:r>
      <w:r>
        <w:t>. Jurnal Kebidanan. Vol IV, No 02</w:t>
      </w:r>
      <w:r w:rsidR="00067070">
        <w:rPr>
          <w:lang w:val="id-ID"/>
        </w:rPr>
        <w:t>.</w:t>
      </w:r>
    </w:p>
    <w:p w:rsidR="00E92988" w:rsidRPr="00067070" w:rsidRDefault="00E92988" w:rsidP="00067070">
      <w:pPr>
        <w:pStyle w:val="ListParagraph"/>
        <w:numPr>
          <w:ilvl w:val="0"/>
          <w:numId w:val="5"/>
        </w:numPr>
        <w:ind w:left="426" w:hanging="426"/>
        <w:jc w:val="both"/>
        <w:rPr>
          <w:b/>
          <w:lang w:val="id-ID"/>
        </w:rPr>
      </w:pPr>
      <w:r>
        <w:t xml:space="preserve">Tazami. Reisa Maulidya. Mustarim. </w:t>
      </w:r>
      <w:r w:rsidR="0008196D">
        <w:t>2016</w:t>
      </w:r>
      <w:r>
        <w:t xml:space="preserve">. </w:t>
      </w:r>
      <w:r w:rsidRPr="00067070">
        <w:rPr>
          <w:i/>
        </w:rPr>
        <w:t xml:space="preserve">Gambaran Faktor Resiko </w:t>
      </w:r>
      <w:r w:rsidRPr="00067070">
        <w:rPr>
          <w:i/>
          <w:lang w:val="id-ID"/>
        </w:rPr>
        <w:tab/>
      </w:r>
      <w:r w:rsidRPr="00067070">
        <w:rPr>
          <w:i/>
        </w:rPr>
        <w:t xml:space="preserve">Ikterus Neonatorum pada Neonatus </w:t>
      </w:r>
      <w:r w:rsidRPr="00067070">
        <w:rPr>
          <w:i/>
          <w:lang w:val="id-ID"/>
        </w:rPr>
        <w:tab/>
      </w:r>
      <w:r w:rsidRPr="00067070">
        <w:rPr>
          <w:i/>
        </w:rPr>
        <w:t>di Ruang Prinatologi RSUD Raden Mattaher Jamb</w:t>
      </w:r>
      <w:r>
        <w:t>i. Jurnal Kedokteran</w:t>
      </w:r>
      <w:r w:rsidR="00067070">
        <w:rPr>
          <w:lang w:val="id-ID"/>
        </w:rPr>
        <w:t>.</w:t>
      </w:r>
    </w:p>
    <w:p w:rsidR="00067070" w:rsidRPr="00067070" w:rsidRDefault="00E92988" w:rsidP="00067070">
      <w:pPr>
        <w:pStyle w:val="ListParagraph"/>
        <w:numPr>
          <w:ilvl w:val="0"/>
          <w:numId w:val="5"/>
        </w:numPr>
        <w:ind w:left="426" w:hanging="426"/>
        <w:jc w:val="both"/>
        <w:rPr>
          <w:b/>
          <w:lang w:val="id-ID"/>
        </w:rPr>
      </w:pPr>
      <w:r w:rsidRPr="00067070">
        <w:rPr>
          <w:lang w:val="sv-SE"/>
        </w:rPr>
        <w:t>Kusumawardani</w:t>
      </w:r>
      <w:r w:rsidRPr="00067070">
        <w:rPr>
          <w:lang w:val="id-ID"/>
        </w:rPr>
        <w:t>.,</w:t>
      </w:r>
      <w:r w:rsidRPr="00067070">
        <w:rPr>
          <w:lang w:val="sv-SE"/>
        </w:rPr>
        <w:t xml:space="preserve"> Fajarsari Dyah.</w:t>
      </w:r>
      <w:r w:rsidRPr="00067070">
        <w:rPr>
          <w:lang w:val="id-ID"/>
        </w:rPr>
        <w:t xml:space="preserve">, </w:t>
      </w:r>
      <w:r w:rsidR="0008196D" w:rsidRPr="00067070">
        <w:rPr>
          <w:lang w:val="sv-SE"/>
        </w:rPr>
        <w:t>Fridayanti Warni. 2016</w:t>
      </w:r>
      <w:r w:rsidRPr="00067070">
        <w:rPr>
          <w:lang w:val="sv-SE"/>
        </w:rPr>
        <w:t>.</w:t>
      </w:r>
      <w:r w:rsidR="0008196D" w:rsidRPr="00067070">
        <w:rPr>
          <w:lang w:val="sv-SE"/>
        </w:rPr>
        <w:t xml:space="preserve"> </w:t>
      </w:r>
      <w:r w:rsidRPr="00067070">
        <w:rPr>
          <w:i/>
          <w:lang w:val="sv-SE"/>
        </w:rPr>
        <w:t>Hubungan antara BBLR dengan Hiperbilirubinemia di RSUD Prof. Dr. Margono Soekardjo Purwokerto</w:t>
      </w:r>
      <w:r w:rsidRPr="00067070">
        <w:rPr>
          <w:lang w:val="sv-SE"/>
        </w:rPr>
        <w:t>. Jurnal Kesehatan</w:t>
      </w:r>
      <w:r w:rsidR="00067070">
        <w:rPr>
          <w:lang w:val="id-ID"/>
        </w:rPr>
        <w:t>.</w:t>
      </w:r>
    </w:p>
    <w:p w:rsidR="00E92988" w:rsidRPr="00067070" w:rsidRDefault="00E92988" w:rsidP="00067070">
      <w:pPr>
        <w:pStyle w:val="ListParagraph"/>
        <w:numPr>
          <w:ilvl w:val="0"/>
          <w:numId w:val="5"/>
        </w:numPr>
        <w:ind w:left="426" w:hanging="426"/>
        <w:jc w:val="both"/>
        <w:rPr>
          <w:b/>
          <w:lang w:val="id-ID"/>
        </w:rPr>
      </w:pPr>
      <w:r w:rsidRPr="00067070">
        <w:rPr>
          <w:lang w:val="sv-SE"/>
        </w:rPr>
        <w:t xml:space="preserve"> </w:t>
      </w:r>
      <w:proofErr w:type="gramStart"/>
      <w:r>
        <w:t>Hasvivin</w:t>
      </w:r>
      <w:r w:rsidRPr="00067070">
        <w:rPr>
          <w:lang w:val="id-ID"/>
        </w:rPr>
        <w:t>.,</w:t>
      </w:r>
      <w:proofErr w:type="gramEnd"/>
      <w:r>
        <w:t xml:space="preserve"> Wahyuni Sri.</w:t>
      </w:r>
      <w:r w:rsidRPr="00067070">
        <w:rPr>
          <w:lang w:val="id-ID"/>
        </w:rPr>
        <w:t>,</w:t>
      </w:r>
      <w:r w:rsidR="00DC5C61">
        <w:t xml:space="preserve"> Kadir Adriani. </w:t>
      </w:r>
      <w:r w:rsidR="0008196D">
        <w:t>2014</w:t>
      </w:r>
      <w:r>
        <w:t xml:space="preserve">. </w:t>
      </w:r>
      <w:r w:rsidRPr="00067070">
        <w:rPr>
          <w:i/>
        </w:rPr>
        <w:t xml:space="preserve">Hubungan Frekuensi ASI, Riwayat Asfiksia dan BBLR dengan Kejadian Ikterus Neonatorium di </w:t>
      </w:r>
      <w:r w:rsidRPr="00067070">
        <w:rPr>
          <w:i/>
          <w:lang w:val="id-ID"/>
        </w:rPr>
        <w:tab/>
      </w:r>
      <w:r w:rsidRPr="00067070">
        <w:rPr>
          <w:i/>
        </w:rPr>
        <w:t>Ruang Nicu RSKD Ibu dan Anak Siti Fatimah Makasar</w:t>
      </w:r>
      <w:r>
        <w:t>. Jurnal Keperawatan. Vol.2 No. 6, ISSN 2302-1721</w:t>
      </w:r>
      <w:r w:rsidR="00067070">
        <w:rPr>
          <w:lang w:val="id-ID"/>
        </w:rPr>
        <w:t>.</w:t>
      </w:r>
    </w:p>
    <w:p w:rsidR="00067070" w:rsidRPr="00067070" w:rsidRDefault="0008196D" w:rsidP="00067070">
      <w:pPr>
        <w:pStyle w:val="ListParagraph"/>
        <w:numPr>
          <w:ilvl w:val="0"/>
          <w:numId w:val="5"/>
        </w:numPr>
        <w:ind w:left="426" w:hanging="426"/>
        <w:jc w:val="both"/>
        <w:rPr>
          <w:b/>
          <w:lang w:val="id-ID"/>
        </w:rPr>
      </w:pPr>
      <w:r w:rsidRPr="00067070">
        <w:rPr>
          <w:lang w:val="sv-SE"/>
        </w:rPr>
        <w:t>Data RSUD Ibnu Soetowo, 2019</w:t>
      </w:r>
      <w:r w:rsidR="00E92988" w:rsidRPr="00067070">
        <w:rPr>
          <w:lang w:val="sv-SE"/>
        </w:rPr>
        <w:t xml:space="preserve">. </w:t>
      </w:r>
      <w:r w:rsidR="00E92988" w:rsidRPr="00067070">
        <w:rPr>
          <w:i/>
          <w:lang w:val="sv-SE"/>
        </w:rPr>
        <w:t>Data Kelahiran hidup dan kasus Hiperbilirubinemia</w:t>
      </w:r>
      <w:r w:rsidR="00E92988" w:rsidRPr="00067070">
        <w:rPr>
          <w:lang w:val="sv-SE"/>
        </w:rPr>
        <w:t xml:space="preserve"> Baturaja</w:t>
      </w:r>
    </w:p>
    <w:p w:rsidR="00067070" w:rsidRPr="00067070" w:rsidRDefault="0008196D" w:rsidP="00067070">
      <w:pPr>
        <w:pStyle w:val="ListParagraph"/>
        <w:numPr>
          <w:ilvl w:val="0"/>
          <w:numId w:val="5"/>
        </w:numPr>
        <w:ind w:left="426" w:hanging="426"/>
        <w:jc w:val="both"/>
        <w:rPr>
          <w:b/>
          <w:lang w:val="id-ID"/>
        </w:rPr>
      </w:pPr>
      <w:r>
        <w:t>Notoatmodjo, Soekidjo. 2017</w:t>
      </w:r>
      <w:r w:rsidR="00E92988">
        <w:t xml:space="preserve">. </w:t>
      </w:r>
      <w:r w:rsidR="00E92988" w:rsidRPr="00067070">
        <w:rPr>
          <w:i/>
        </w:rPr>
        <w:t>Metodologi Penelitian Kesehatan</w:t>
      </w:r>
      <w:r w:rsidR="00E92988">
        <w:t>. Jakarta: Rineka.</w:t>
      </w:r>
    </w:p>
    <w:p w:rsidR="00067070" w:rsidRPr="00067070" w:rsidRDefault="0008196D" w:rsidP="00067070">
      <w:pPr>
        <w:pStyle w:val="ListParagraph"/>
        <w:numPr>
          <w:ilvl w:val="0"/>
          <w:numId w:val="5"/>
        </w:numPr>
        <w:ind w:left="426" w:hanging="426"/>
        <w:jc w:val="both"/>
        <w:rPr>
          <w:b/>
          <w:lang w:val="id-ID"/>
        </w:rPr>
      </w:pPr>
      <w:r>
        <w:t>Ngastiah.</w:t>
      </w:r>
      <w:r w:rsidR="00DC5C61">
        <w:t xml:space="preserve"> </w:t>
      </w:r>
      <w:r>
        <w:t>2018</w:t>
      </w:r>
      <w:r w:rsidR="00E92988">
        <w:t xml:space="preserve">. </w:t>
      </w:r>
      <w:r w:rsidR="00E92988" w:rsidRPr="00067070">
        <w:rPr>
          <w:bCs/>
          <w:i/>
          <w:iCs/>
        </w:rPr>
        <w:t>Perawatan Anak Sakit</w:t>
      </w:r>
      <w:r w:rsidR="00E92988">
        <w:t>. Jakarta: EGC</w:t>
      </w:r>
    </w:p>
    <w:p w:rsidR="00E92988" w:rsidRPr="00067070" w:rsidRDefault="00E92988" w:rsidP="00067070">
      <w:pPr>
        <w:pStyle w:val="ListParagraph"/>
        <w:numPr>
          <w:ilvl w:val="0"/>
          <w:numId w:val="5"/>
        </w:numPr>
        <w:ind w:left="426" w:hanging="426"/>
        <w:jc w:val="both"/>
        <w:rPr>
          <w:b/>
          <w:lang w:val="id-ID"/>
        </w:rPr>
      </w:pPr>
      <w:r w:rsidRPr="00067070">
        <w:rPr>
          <w:lang w:val="sv-SE"/>
        </w:rPr>
        <w:lastRenderedPageBreak/>
        <w:t xml:space="preserve">Sukadi. 2010. </w:t>
      </w:r>
      <w:r w:rsidRPr="00067070">
        <w:rPr>
          <w:i/>
          <w:lang w:val="sv-SE"/>
        </w:rPr>
        <w:t>Landasaan Teori Persalinan.</w:t>
      </w:r>
      <w:r w:rsidRPr="00067070">
        <w:rPr>
          <w:lang w:val="sv-SE"/>
        </w:rPr>
        <w:t xml:space="preserve"> Diakses pada tanggal 4 Febriari 2016.</w:t>
      </w:r>
      <w:r w:rsidR="0077260E" w:rsidRPr="00067070">
        <w:rPr>
          <w:lang w:val="sv-SE"/>
        </w:rPr>
        <w:t xml:space="preserve"> </w:t>
      </w:r>
      <w:r w:rsidRPr="00067070">
        <w:rPr>
          <w:lang w:val="sv-SE"/>
        </w:rPr>
        <w:t>htt</w:t>
      </w:r>
      <w:r w:rsidR="0077260E" w:rsidRPr="00067070">
        <w:rPr>
          <w:lang w:val="sv-SE"/>
        </w:rPr>
        <w:t>p</w:t>
      </w:r>
      <w:r w:rsidRPr="00067070">
        <w:rPr>
          <w:lang w:val="sv-SE"/>
        </w:rPr>
        <w:t>//landasan teori persalinan.wordprees.com</w:t>
      </w:r>
    </w:p>
    <w:p w:rsidR="00E92988" w:rsidRDefault="00E92988" w:rsidP="00CA700D">
      <w:pPr>
        <w:ind w:left="454"/>
        <w:jc w:val="both"/>
        <w:rPr>
          <w:lang w:val="id-ID"/>
        </w:rPr>
      </w:pPr>
    </w:p>
    <w:p w:rsidR="00667E61" w:rsidRDefault="005C7AC1" w:rsidP="00CA700D">
      <w:pPr>
        <w:ind w:left="454"/>
      </w:pPr>
    </w:p>
    <w:sectPr w:rsidR="00667E61" w:rsidSect="00786ABB">
      <w:type w:val="continuous"/>
      <w:pgSz w:w="11907" w:h="16840" w:code="9"/>
      <w:pgMar w:top="1440" w:right="1440" w:bottom="1440" w:left="1440" w:header="720" w:footer="720" w:gutter="0"/>
      <w:pgBorders>
        <w:top w:val="none" w:sz="0" w:space="1" w:color="auto"/>
        <w:left w:val="none" w:sz="0" w:space="4" w:color="auto"/>
        <w:bottom w:val="none" w:sz="0" w:space="1" w:color="auto"/>
        <w:right w:val="none" w:sz="0" w:space="4" w:color="auto"/>
      </w:pgBorders>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AC1" w:rsidRDefault="005C7AC1" w:rsidP="001528EB">
      <w:r>
        <w:separator/>
      </w:r>
    </w:p>
  </w:endnote>
  <w:endnote w:type="continuationSeparator" w:id="0">
    <w:p w:rsidR="005C7AC1" w:rsidRDefault="005C7AC1" w:rsidP="0015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swiss"/>
    <w:pitch w:val="default"/>
    <w:sig w:usb0="00000000"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61" w:rsidRDefault="00DC5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4087"/>
      <w:docPartObj>
        <w:docPartGallery w:val="Page Numbers (Bottom of Page)"/>
        <w:docPartUnique/>
      </w:docPartObj>
    </w:sdtPr>
    <w:sdtEndPr/>
    <w:sdtContent>
      <w:p w:rsidR="001528EB" w:rsidRDefault="00124068">
        <w:pPr>
          <w:pStyle w:val="Footer"/>
          <w:jc w:val="center"/>
        </w:pPr>
        <w:r>
          <w:fldChar w:fldCharType="begin"/>
        </w:r>
        <w:r>
          <w:instrText xml:space="preserve"> PAGE   \* MERGEFORMAT </w:instrText>
        </w:r>
        <w:r>
          <w:fldChar w:fldCharType="separate"/>
        </w:r>
        <w:r w:rsidR="001D2AAA">
          <w:rPr>
            <w:noProof/>
          </w:rPr>
          <w:t>42</w:t>
        </w:r>
        <w:r>
          <w:rPr>
            <w:noProof/>
          </w:rPr>
          <w:fldChar w:fldCharType="end"/>
        </w:r>
      </w:p>
    </w:sdtContent>
  </w:sdt>
  <w:p w:rsidR="001528EB" w:rsidRDefault="001528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61" w:rsidRDefault="00DC5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AC1" w:rsidRDefault="005C7AC1" w:rsidP="001528EB">
      <w:r>
        <w:separator/>
      </w:r>
    </w:p>
  </w:footnote>
  <w:footnote w:type="continuationSeparator" w:id="0">
    <w:p w:rsidR="005C7AC1" w:rsidRDefault="005C7AC1" w:rsidP="00152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61" w:rsidRDefault="00DC5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ABB" w:rsidRPr="0091154A" w:rsidRDefault="00786ABB" w:rsidP="00786ABB">
    <w:pPr>
      <w:pStyle w:val="Header"/>
      <w:tabs>
        <w:tab w:val="left" w:pos="6379"/>
      </w:tabs>
    </w:pPr>
    <w:r w:rsidRPr="005135E2">
      <w:rPr>
        <w:b/>
      </w:rPr>
      <w:t>CENDEKIA MEDIKA</w:t>
    </w:r>
    <w:r w:rsidRPr="005135E2">
      <w:rPr>
        <w:b/>
      </w:rPr>
      <w:tab/>
      <w:t xml:space="preserve">                                        </w:t>
    </w:r>
    <w:r>
      <w:rPr>
        <w:b/>
      </w:rPr>
      <w:t xml:space="preserve">                </w:t>
    </w:r>
    <w:r w:rsidRPr="005135E2">
      <w:rPr>
        <w:b/>
      </w:rPr>
      <w:t xml:space="preserve"> </w:t>
    </w:r>
    <w:r w:rsidRPr="0091154A">
      <w:t>Volume 5 Nomor 1, April 2020 p-ISSN: 2503-1392</w:t>
    </w:r>
  </w:p>
  <w:p w:rsidR="00786ABB" w:rsidRPr="00A7061D" w:rsidRDefault="00786ABB" w:rsidP="00786ABB">
    <w:pPr>
      <w:spacing w:line="259" w:lineRule="auto"/>
    </w:pPr>
    <w:proofErr w:type="gramStart"/>
    <w:r w:rsidRPr="0091154A">
      <w:t>e-ISSN</w:t>
    </w:r>
    <w:proofErr w:type="gramEnd"/>
    <w:r w:rsidRPr="0091154A">
      <w:t>: 2620-5424</w:t>
    </w:r>
  </w:p>
  <w:p w:rsidR="001528EB" w:rsidRPr="00786ABB" w:rsidRDefault="00786ABB" w:rsidP="00786ABB">
    <w:pPr>
      <w:pStyle w:val="Header"/>
      <w:tabs>
        <w:tab w:val="clear" w:pos="4513"/>
        <w:tab w:val="clear" w:pos="9026"/>
        <w:tab w:val="left" w:pos="2758"/>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61" w:rsidRDefault="00DC5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01406"/>
    <w:multiLevelType w:val="multilevel"/>
    <w:tmpl w:val="20D0140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99375FF"/>
    <w:multiLevelType w:val="multilevel"/>
    <w:tmpl w:val="399375FF"/>
    <w:lvl w:ilvl="0" w:tentative="1">
      <w:start w:val="1"/>
      <w:numFmt w:val="lowerLetter"/>
      <w:lvlText w:val="%1."/>
      <w:lvlJc w:val="left"/>
      <w:pPr>
        <w:tabs>
          <w:tab w:val="left" w:pos="720"/>
        </w:tabs>
        <w:ind w:left="720" w:hanging="360"/>
      </w:pPr>
    </w:lvl>
    <w:lvl w:ilvl="1">
      <w:start w:val="1"/>
      <w:numFmt w:val="decimal"/>
      <w:lvlText w:val="%2."/>
      <w:lvlJc w:val="left"/>
      <w:pPr>
        <w:tabs>
          <w:tab w:val="left" w:pos="1440"/>
        </w:tabs>
        <w:ind w:left="1440" w:hanging="360"/>
      </w:pPr>
      <w:rPr>
        <w:rFonts w:hint="default"/>
      </w:r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2">
    <w:nsid w:val="5786CB46"/>
    <w:multiLevelType w:val="singleLevel"/>
    <w:tmpl w:val="5786CB46"/>
    <w:lvl w:ilvl="0">
      <w:start w:val="1"/>
      <w:numFmt w:val="decimal"/>
      <w:lvlText w:val="%1."/>
      <w:lvlJc w:val="left"/>
      <w:pPr>
        <w:tabs>
          <w:tab w:val="left" w:pos="425"/>
        </w:tabs>
        <w:ind w:left="425" w:hanging="425"/>
      </w:pPr>
      <w:rPr>
        <w:rFonts w:hint="default"/>
      </w:rPr>
    </w:lvl>
  </w:abstractNum>
  <w:abstractNum w:abstractNumId="3">
    <w:nsid w:val="67061B2A"/>
    <w:multiLevelType w:val="multilevel"/>
    <w:tmpl w:val="67061B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F0B235D"/>
    <w:multiLevelType w:val="hybridMultilevel"/>
    <w:tmpl w:val="DFFA25F2"/>
    <w:lvl w:ilvl="0" w:tplc="37F4F348">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988"/>
    <w:rsid w:val="00031419"/>
    <w:rsid w:val="00067070"/>
    <w:rsid w:val="0008196D"/>
    <w:rsid w:val="000D2811"/>
    <w:rsid w:val="000E7668"/>
    <w:rsid w:val="00103BCC"/>
    <w:rsid w:val="00124068"/>
    <w:rsid w:val="001528EB"/>
    <w:rsid w:val="001D2AAA"/>
    <w:rsid w:val="001D3B4D"/>
    <w:rsid w:val="0023619B"/>
    <w:rsid w:val="003316B5"/>
    <w:rsid w:val="00356A43"/>
    <w:rsid w:val="005C7AC1"/>
    <w:rsid w:val="006852F0"/>
    <w:rsid w:val="00694753"/>
    <w:rsid w:val="0077260E"/>
    <w:rsid w:val="00784CFF"/>
    <w:rsid w:val="00786ABB"/>
    <w:rsid w:val="00A21E10"/>
    <w:rsid w:val="00B331B4"/>
    <w:rsid w:val="00B674B7"/>
    <w:rsid w:val="00BA5F03"/>
    <w:rsid w:val="00BD3FCE"/>
    <w:rsid w:val="00BF18BA"/>
    <w:rsid w:val="00CA700D"/>
    <w:rsid w:val="00CE45F6"/>
    <w:rsid w:val="00D33618"/>
    <w:rsid w:val="00D41FE9"/>
    <w:rsid w:val="00D858BF"/>
    <w:rsid w:val="00DC5C61"/>
    <w:rsid w:val="00DD71F3"/>
    <w:rsid w:val="00E1436A"/>
    <w:rsid w:val="00E34D18"/>
    <w:rsid w:val="00E72985"/>
    <w:rsid w:val="00E81205"/>
    <w:rsid w:val="00E87FC6"/>
    <w:rsid w:val="00E92988"/>
    <w:rsid w:val="00F7260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9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298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qFormat/>
    <w:rsid w:val="00E92988"/>
  </w:style>
  <w:style w:type="paragraph" w:customStyle="1" w:styleId="ListParagraph1">
    <w:name w:val="List Paragraph1"/>
    <w:basedOn w:val="Normal"/>
    <w:uiPriority w:val="34"/>
    <w:qFormat/>
    <w:rsid w:val="00E92988"/>
    <w:pPr>
      <w:ind w:left="720"/>
      <w:contextualSpacing/>
    </w:pPr>
  </w:style>
  <w:style w:type="paragraph" w:customStyle="1" w:styleId="Default">
    <w:name w:val="Default"/>
    <w:qFormat/>
    <w:rsid w:val="00E92988"/>
    <w:pPr>
      <w:autoSpaceDE w:val="0"/>
      <w:autoSpaceDN w:val="0"/>
      <w:adjustRightInd w:val="0"/>
    </w:pPr>
    <w:rPr>
      <w:rFonts w:ascii="Times New Roman" w:hAnsi="Times New Roman"/>
      <w:color w:val="000000"/>
      <w:sz w:val="24"/>
      <w:szCs w:val="24"/>
    </w:rPr>
  </w:style>
  <w:style w:type="paragraph" w:styleId="HTMLPreformatted">
    <w:name w:val="HTML Preformatted"/>
    <w:basedOn w:val="Normal"/>
    <w:link w:val="HTMLPreformattedChar"/>
    <w:uiPriority w:val="99"/>
    <w:semiHidden/>
    <w:unhideWhenUsed/>
    <w:rsid w:val="00E81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E81205"/>
    <w:rPr>
      <w:rFonts w:ascii="Courier New" w:eastAsia="Times New Roman" w:hAnsi="Courier New" w:cs="Courier New"/>
      <w:sz w:val="20"/>
      <w:szCs w:val="20"/>
      <w:lang w:val="id-ID" w:eastAsia="id-ID"/>
    </w:rPr>
  </w:style>
  <w:style w:type="paragraph" w:styleId="ListParagraph">
    <w:name w:val="List Paragraph"/>
    <w:basedOn w:val="Normal"/>
    <w:uiPriority w:val="34"/>
    <w:qFormat/>
    <w:rsid w:val="00CA700D"/>
    <w:pPr>
      <w:ind w:left="720"/>
      <w:contextualSpacing/>
    </w:pPr>
  </w:style>
  <w:style w:type="paragraph" w:styleId="Header">
    <w:name w:val="header"/>
    <w:basedOn w:val="Normal"/>
    <w:link w:val="HeaderChar"/>
    <w:uiPriority w:val="99"/>
    <w:unhideWhenUsed/>
    <w:rsid w:val="001528EB"/>
    <w:pPr>
      <w:tabs>
        <w:tab w:val="center" w:pos="4513"/>
        <w:tab w:val="right" w:pos="9026"/>
      </w:tabs>
    </w:pPr>
  </w:style>
  <w:style w:type="character" w:customStyle="1" w:styleId="HeaderChar">
    <w:name w:val="Header Char"/>
    <w:basedOn w:val="DefaultParagraphFont"/>
    <w:link w:val="Header"/>
    <w:uiPriority w:val="99"/>
    <w:rsid w:val="001528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28EB"/>
    <w:pPr>
      <w:tabs>
        <w:tab w:val="center" w:pos="4513"/>
        <w:tab w:val="right" w:pos="9026"/>
      </w:tabs>
    </w:pPr>
  </w:style>
  <w:style w:type="character" w:customStyle="1" w:styleId="FooterChar">
    <w:name w:val="Footer Char"/>
    <w:basedOn w:val="DefaultParagraphFont"/>
    <w:link w:val="Footer"/>
    <w:uiPriority w:val="99"/>
    <w:rsid w:val="001528E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9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298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qFormat/>
    <w:rsid w:val="00E92988"/>
  </w:style>
  <w:style w:type="paragraph" w:customStyle="1" w:styleId="ListParagraph1">
    <w:name w:val="List Paragraph1"/>
    <w:basedOn w:val="Normal"/>
    <w:uiPriority w:val="34"/>
    <w:qFormat/>
    <w:rsid w:val="00E92988"/>
    <w:pPr>
      <w:ind w:left="720"/>
      <w:contextualSpacing/>
    </w:pPr>
  </w:style>
  <w:style w:type="paragraph" w:customStyle="1" w:styleId="Default">
    <w:name w:val="Default"/>
    <w:qFormat/>
    <w:rsid w:val="00E92988"/>
    <w:pPr>
      <w:autoSpaceDE w:val="0"/>
      <w:autoSpaceDN w:val="0"/>
      <w:adjustRightInd w:val="0"/>
    </w:pPr>
    <w:rPr>
      <w:rFonts w:ascii="Times New Roman" w:hAnsi="Times New Roman"/>
      <w:color w:val="000000"/>
      <w:sz w:val="24"/>
      <w:szCs w:val="24"/>
    </w:rPr>
  </w:style>
  <w:style w:type="paragraph" w:styleId="HTMLPreformatted">
    <w:name w:val="HTML Preformatted"/>
    <w:basedOn w:val="Normal"/>
    <w:link w:val="HTMLPreformattedChar"/>
    <w:uiPriority w:val="99"/>
    <w:semiHidden/>
    <w:unhideWhenUsed/>
    <w:rsid w:val="00E81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E81205"/>
    <w:rPr>
      <w:rFonts w:ascii="Courier New" w:eastAsia="Times New Roman" w:hAnsi="Courier New" w:cs="Courier New"/>
      <w:sz w:val="20"/>
      <w:szCs w:val="20"/>
      <w:lang w:val="id-ID" w:eastAsia="id-ID"/>
    </w:rPr>
  </w:style>
  <w:style w:type="paragraph" w:styleId="ListParagraph">
    <w:name w:val="List Paragraph"/>
    <w:basedOn w:val="Normal"/>
    <w:uiPriority w:val="34"/>
    <w:qFormat/>
    <w:rsid w:val="00CA700D"/>
    <w:pPr>
      <w:ind w:left="720"/>
      <w:contextualSpacing/>
    </w:pPr>
  </w:style>
  <w:style w:type="paragraph" w:styleId="Header">
    <w:name w:val="header"/>
    <w:basedOn w:val="Normal"/>
    <w:link w:val="HeaderChar"/>
    <w:uiPriority w:val="99"/>
    <w:unhideWhenUsed/>
    <w:rsid w:val="001528EB"/>
    <w:pPr>
      <w:tabs>
        <w:tab w:val="center" w:pos="4513"/>
        <w:tab w:val="right" w:pos="9026"/>
      </w:tabs>
    </w:pPr>
  </w:style>
  <w:style w:type="character" w:customStyle="1" w:styleId="HeaderChar">
    <w:name w:val="Header Char"/>
    <w:basedOn w:val="DefaultParagraphFont"/>
    <w:link w:val="Header"/>
    <w:uiPriority w:val="99"/>
    <w:rsid w:val="001528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28EB"/>
    <w:pPr>
      <w:tabs>
        <w:tab w:val="center" w:pos="4513"/>
        <w:tab w:val="right" w:pos="9026"/>
      </w:tabs>
    </w:pPr>
  </w:style>
  <w:style w:type="character" w:customStyle="1" w:styleId="FooterChar">
    <w:name w:val="Footer Char"/>
    <w:basedOn w:val="DefaultParagraphFont"/>
    <w:link w:val="Footer"/>
    <w:uiPriority w:val="99"/>
    <w:rsid w:val="001528E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909539">
      <w:bodyDiv w:val="1"/>
      <w:marLeft w:val="0"/>
      <w:marRight w:val="0"/>
      <w:marTop w:val="0"/>
      <w:marBottom w:val="0"/>
      <w:divBdr>
        <w:top w:val="none" w:sz="0" w:space="0" w:color="auto"/>
        <w:left w:val="none" w:sz="0" w:space="0" w:color="auto"/>
        <w:bottom w:val="none" w:sz="0" w:space="0" w:color="auto"/>
        <w:right w:val="none" w:sz="0" w:space="0" w:color="auto"/>
      </w:divBdr>
    </w:div>
    <w:div w:id="172093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5367A-EAEF-417E-9CCE-14471F90E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2270</Words>
  <Characters>12944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ismail - [2010]</cp:lastModifiedBy>
  <cp:revision>7</cp:revision>
  <dcterms:created xsi:type="dcterms:W3CDTF">2020-07-28T12:01:00Z</dcterms:created>
  <dcterms:modified xsi:type="dcterms:W3CDTF">2020-08-04T10:32:00Z</dcterms:modified>
</cp:coreProperties>
</file>